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6A6FC" w14:textId="34BA512E" w:rsidR="001C3B05" w:rsidRPr="00A92A00" w:rsidRDefault="00A92A00" w:rsidP="00A92A00">
      <w:pPr>
        <w:jc w:val="center"/>
        <w:rPr>
          <w:b/>
          <w:bCs/>
          <w:sz w:val="28"/>
          <w:szCs w:val="28"/>
          <w:lang w:val="en-US"/>
        </w:rPr>
      </w:pPr>
      <w:r w:rsidRPr="00A92A00">
        <w:rPr>
          <w:b/>
          <w:bCs/>
          <w:sz w:val="28"/>
          <w:szCs w:val="28"/>
          <w:lang w:val="en-US"/>
        </w:rPr>
        <w:t>CERTIFICATE IN RISK IN FINANCIAL SERVICES</w:t>
      </w:r>
      <w:r w:rsidR="00670D4D">
        <w:rPr>
          <w:b/>
          <w:bCs/>
          <w:sz w:val="28"/>
          <w:szCs w:val="28"/>
          <w:lang w:val="en-US"/>
        </w:rPr>
        <w:t xml:space="preserve"> </w:t>
      </w:r>
      <w:bookmarkStart w:id="0" w:name="_GoBack"/>
      <w:bookmarkEnd w:id="0"/>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065"/>
      </w:tblGrid>
      <w:tr w:rsidR="00A92A00" w:rsidRPr="00A92A00" w14:paraId="2A54716B" w14:textId="77777777" w:rsidTr="00A92A00">
        <w:trPr>
          <w:trHeight w:val="624"/>
        </w:trPr>
        <w:tc>
          <w:tcPr>
            <w:tcW w:w="993" w:type="dxa"/>
            <w:shd w:val="clear" w:color="auto" w:fill="auto"/>
            <w:noWrap/>
            <w:vAlign w:val="center"/>
          </w:tcPr>
          <w:p w14:paraId="314FE192" w14:textId="756524B8" w:rsidR="00A92A00" w:rsidRPr="00A92A00" w:rsidRDefault="00A92A00" w:rsidP="00A92A00">
            <w:pPr>
              <w:spacing w:after="0" w:line="240" w:lineRule="auto"/>
              <w:jc w:val="center"/>
              <w:rPr>
                <w:rFonts w:ascii="Calibri" w:eastAsia="Times New Roman" w:hAnsi="Calibri" w:cs="Calibri"/>
                <w:b/>
                <w:bCs/>
                <w:color w:val="000000"/>
                <w:kern w:val="0"/>
                <w:sz w:val="24"/>
                <w:szCs w:val="24"/>
                <w:lang w:eastAsia="en-IN"/>
                <w14:ligatures w14:val="none"/>
              </w:rPr>
            </w:pPr>
            <w:r w:rsidRPr="00A92A00">
              <w:rPr>
                <w:rFonts w:ascii="Calibri" w:eastAsia="Times New Roman" w:hAnsi="Calibri" w:cs="Calibri"/>
                <w:b/>
                <w:bCs/>
                <w:color w:val="000000"/>
                <w:kern w:val="0"/>
                <w:sz w:val="24"/>
                <w:szCs w:val="24"/>
                <w:lang w:eastAsia="en-IN"/>
                <w14:ligatures w14:val="none"/>
              </w:rPr>
              <w:t>Sr. No.</w:t>
            </w:r>
          </w:p>
        </w:tc>
        <w:tc>
          <w:tcPr>
            <w:tcW w:w="10065" w:type="dxa"/>
            <w:shd w:val="clear" w:color="auto" w:fill="auto"/>
            <w:vAlign w:val="center"/>
          </w:tcPr>
          <w:p w14:paraId="608D5DCD" w14:textId="409B0D3F" w:rsidR="00A92A00" w:rsidRPr="00A92A00" w:rsidRDefault="00A92A00" w:rsidP="00A92A00">
            <w:pPr>
              <w:spacing w:after="0" w:line="240" w:lineRule="auto"/>
              <w:jc w:val="center"/>
              <w:rPr>
                <w:rFonts w:ascii="Calibri" w:eastAsia="Times New Roman" w:hAnsi="Calibri" w:cs="Calibri"/>
                <w:b/>
                <w:bCs/>
                <w:color w:val="000000"/>
                <w:kern w:val="0"/>
                <w:sz w:val="24"/>
                <w:szCs w:val="24"/>
                <w:lang w:eastAsia="en-IN"/>
                <w14:ligatures w14:val="none"/>
              </w:rPr>
            </w:pPr>
            <w:r w:rsidRPr="00A92A00">
              <w:rPr>
                <w:rFonts w:ascii="Calibri" w:eastAsia="Times New Roman" w:hAnsi="Calibri" w:cs="Calibri"/>
                <w:b/>
                <w:bCs/>
                <w:color w:val="000000"/>
                <w:kern w:val="0"/>
                <w:sz w:val="24"/>
                <w:szCs w:val="24"/>
                <w:lang w:eastAsia="en-IN"/>
                <w14:ligatures w14:val="none"/>
              </w:rPr>
              <w:t>RBI Notifications</w:t>
            </w:r>
          </w:p>
        </w:tc>
      </w:tr>
      <w:tr w:rsidR="00A92A00" w:rsidRPr="00A92A00" w14:paraId="65A2AEC6" w14:textId="77777777" w:rsidTr="00A92A00">
        <w:trPr>
          <w:trHeight w:val="474"/>
        </w:trPr>
        <w:tc>
          <w:tcPr>
            <w:tcW w:w="993" w:type="dxa"/>
            <w:shd w:val="clear" w:color="auto" w:fill="auto"/>
            <w:noWrap/>
            <w:vAlign w:val="center"/>
          </w:tcPr>
          <w:p w14:paraId="52228C47" w14:textId="51D80B5F"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10065" w:type="dxa"/>
            <w:shd w:val="clear" w:color="auto" w:fill="auto"/>
            <w:vAlign w:val="center"/>
          </w:tcPr>
          <w:p w14:paraId="126C73C9" w14:textId="6C755E58"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Basel III Capital Regulations - Eligible Credit Rating Agencies</w:t>
            </w:r>
          </w:p>
        </w:tc>
      </w:tr>
      <w:tr w:rsidR="00A92A00" w:rsidRPr="00A92A00" w14:paraId="6109EFFA" w14:textId="77777777" w:rsidTr="00A92A00">
        <w:trPr>
          <w:trHeight w:val="409"/>
        </w:trPr>
        <w:tc>
          <w:tcPr>
            <w:tcW w:w="993" w:type="dxa"/>
            <w:shd w:val="clear" w:color="auto" w:fill="auto"/>
            <w:noWrap/>
            <w:vAlign w:val="center"/>
            <w:hideMark/>
          </w:tcPr>
          <w:p w14:paraId="048FD796" w14:textId="70EC4FC1"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10065" w:type="dxa"/>
            <w:shd w:val="clear" w:color="auto" w:fill="auto"/>
            <w:vAlign w:val="center"/>
            <w:hideMark/>
          </w:tcPr>
          <w:p w14:paraId="1D4E546F"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Operational Risk Management: Price / Yield range setting in e-Kuber</w:t>
            </w:r>
          </w:p>
        </w:tc>
      </w:tr>
      <w:tr w:rsidR="00A92A00" w:rsidRPr="00A92A00" w14:paraId="5DBA609F" w14:textId="77777777" w:rsidTr="00A92A00">
        <w:trPr>
          <w:trHeight w:val="414"/>
        </w:trPr>
        <w:tc>
          <w:tcPr>
            <w:tcW w:w="993" w:type="dxa"/>
            <w:shd w:val="clear" w:color="auto" w:fill="auto"/>
            <w:noWrap/>
            <w:vAlign w:val="center"/>
            <w:hideMark/>
          </w:tcPr>
          <w:p w14:paraId="554838DD" w14:textId="1FDB9DFB"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10065" w:type="dxa"/>
            <w:shd w:val="clear" w:color="auto" w:fill="auto"/>
            <w:vAlign w:val="center"/>
            <w:hideMark/>
          </w:tcPr>
          <w:p w14:paraId="4EBA5777"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Governance, measurement and management of Interest Rate Risk in Banking Book</w:t>
            </w:r>
          </w:p>
        </w:tc>
      </w:tr>
      <w:tr w:rsidR="00A92A00" w:rsidRPr="00A92A00" w14:paraId="7A3F0AFB" w14:textId="77777777" w:rsidTr="00A92A00">
        <w:trPr>
          <w:trHeight w:val="704"/>
        </w:trPr>
        <w:tc>
          <w:tcPr>
            <w:tcW w:w="993" w:type="dxa"/>
            <w:shd w:val="clear" w:color="auto" w:fill="auto"/>
            <w:noWrap/>
            <w:vAlign w:val="center"/>
            <w:hideMark/>
          </w:tcPr>
          <w:p w14:paraId="52199F48" w14:textId="799F4C80"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10065" w:type="dxa"/>
            <w:shd w:val="clear" w:color="auto" w:fill="auto"/>
            <w:vAlign w:val="center"/>
            <w:hideMark/>
          </w:tcPr>
          <w:p w14:paraId="3C008019"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Reserve Bank of India (Financial Statements - Presentation and Disclosures) Directions, 2021 - Disclosures for State Co-operative Banks and Central Co-operative Banks</w:t>
            </w:r>
          </w:p>
        </w:tc>
      </w:tr>
      <w:tr w:rsidR="00A92A00" w:rsidRPr="00A92A00" w14:paraId="39F2D27F" w14:textId="77777777" w:rsidTr="00A92A00">
        <w:trPr>
          <w:trHeight w:val="558"/>
        </w:trPr>
        <w:tc>
          <w:tcPr>
            <w:tcW w:w="993" w:type="dxa"/>
            <w:shd w:val="clear" w:color="auto" w:fill="auto"/>
            <w:noWrap/>
            <w:vAlign w:val="center"/>
            <w:hideMark/>
          </w:tcPr>
          <w:p w14:paraId="5F953F76" w14:textId="423C63EB"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5</w:t>
            </w:r>
          </w:p>
        </w:tc>
        <w:tc>
          <w:tcPr>
            <w:tcW w:w="10065" w:type="dxa"/>
            <w:shd w:val="clear" w:color="auto" w:fill="auto"/>
            <w:vAlign w:val="center"/>
            <w:hideMark/>
          </w:tcPr>
          <w:p w14:paraId="7BB06A81"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Revised Regulatory Framework for Urban Co-operative Banks (UCBs) - Net Worth and Capital Adequacy</w:t>
            </w:r>
          </w:p>
        </w:tc>
      </w:tr>
      <w:tr w:rsidR="00A92A00" w:rsidRPr="00A92A00" w14:paraId="52516E58" w14:textId="77777777" w:rsidTr="00A92A00">
        <w:trPr>
          <w:trHeight w:val="383"/>
        </w:trPr>
        <w:tc>
          <w:tcPr>
            <w:tcW w:w="993" w:type="dxa"/>
            <w:shd w:val="clear" w:color="auto" w:fill="auto"/>
            <w:noWrap/>
            <w:vAlign w:val="center"/>
            <w:hideMark/>
          </w:tcPr>
          <w:p w14:paraId="338220E3" w14:textId="1E683241"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6</w:t>
            </w:r>
          </w:p>
        </w:tc>
        <w:tc>
          <w:tcPr>
            <w:tcW w:w="10065" w:type="dxa"/>
            <w:shd w:val="clear" w:color="auto" w:fill="auto"/>
            <w:vAlign w:val="center"/>
            <w:hideMark/>
          </w:tcPr>
          <w:p w14:paraId="22347AA2"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Master Circular on Credit Facilities to Minority Communities</w:t>
            </w:r>
          </w:p>
        </w:tc>
      </w:tr>
      <w:tr w:rsidR="00A92A00" w:rsidRPr="00A92A00" w14:paraId="27F7954C" w14:textId="77777777" w:rsidTr="00A92A00">
        <w:trPr>
          <w:trHeight w:val="417"/>
        </w:trPr>
        <w:tc>
          <w:tcPr>
            <w:tcW w:w="993" w:type="dxa"/>
            <w:shd w:val="clear" w:color="auto" w:fill="auto"/>
            <w:noWrap/>
            <w:vAlign w:val="center"/>
            <w:hideMark/>
          </w:tcPr>
          <w:p w14:paraId="1903097A" w14:textId="76CF68D0"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7</w:t>
            </w:r>
          </w:p>
        </w:tc>
        <w:tc>
          <w:tcPr>
            <w:tcW w:w="10065" w:type="dxa"/>
            <w:shd w:val="clear" w:color="auto" w:fill="auto"/>
            <w:vAlign w:val="center"/>
            <w:hideMark/>
          </w:tcPr>
          <w:p w14:paraId="248F4931"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Master Circular - Credit facilities to Scheduled Castes (SCs) &amp; Scheduled Tribes (STs)</w:t>
            </w:r>
          </w:p>
        </w:tc>
      </w:tr>
      <w:tr w:rsidR="00A92A00" w:rsidRPr="00A92A00" w14:paraId="22388293" w14:textId="77777777" w:rsidTr="00A92A00">
        <w:trPr>
          <w:trHeight w:val="331"/>
        </w:trPr>
        <w:tc>
          <w:tcPr>
            <w:tcW w:w="993" w:type="dxa"/>
            <w:shd w:val="clear" w:color="auto" w:fill="auto"/>
            <w:noWrap/>
            <w:vAlign w:val="center"/>
            <w:hideMark/>
          </w:tcPr>
          <w:p w14:paraId="60275CCC" w14:textId="451E8415"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8</w:t>
            </w:r>
          </w:p>
        </w:tc>
        <w:tc>
          <w:tcPr>
            <w:tcW w:w="10065" w:type="dxa"/>
            <w:shd w:val="clear" w:color="auto" w:fill="auto"/>
            <w:vAlign w:val="center"/>
            <w:hideMark/>
          </w:tcPr>
          <w:p w14:paraId="611FF64B"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Master Circular - Guarantees, Co-Acceptances &amp; Letters of Credit - UCBs</w:t>
            </w:r>
          </w:p>
        </w:tc>
      </w:tr>
      <w:tr w:rsidR="00A92A00" w:rsidRPr="00A92A00" w14:paraId="778B199A" w14:textId="77777777" w:rsidTr="00A92A00">
        <w:trPr>
          <w:trHeight w:val="641"/>
        </w:trPr>
        <w:tc>
          <w:tcPr>
            <w:tcW w:w="993" w:type="dxa"/>
            <w:shd w:val="clear" w:color="auto" w:fill="auto"/>
            <w:noWrap/>
            <w:vAlign w:val="center"/>
            <w:hideMark/>
          </w:tcPr>
          <w:p w14:paraId="6CF60762" w14:textId="5FE7E0B0"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9</w:t>
            </w:r>
          </w:p>
        </w:tc>
        <w:tc>
          <w:tcPr>
            <w:tcW w:w="10065" w:type="dxa"/>
            <w:shd w:val="clear" w:color="auto" w:fill="auto"/>
            <w:vAlign w:val="center"/>
            <w:hideMark/>
          </w:tcPr>
          <w:p w14:paraId="35862D78"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Master Circular - Prudential norms on Income Recognition, Asset Classification and Provisioning pertaining to Advances</w:t>
            </w:r>
          </w:p>
        </w:tc>
      </w:tr>
      <w:tr w:rsidR="00A92A00" w:rsidRPr="00A92A00" w14:paraId="4CC9C366" w14:textId="77777777" w:rsidTr="00A92A00">
        <w:trPr>
          <w:trHeight w:val="693"/>
        </w:trPr>
        <w:tc>
          <w:tcPr>
            <w:tcW w:w="993" w:type="dxa"/>
            <w:shd w:val="clear" w:color="auto" w:fill="auto"/>
            <w:noWrap/>
            <w:vAlign w:val="center"/>
            <w:hideMark/>
          </w:tcPr>
          <w:p w14:paraId="2E620DF3" w14:textId="1881DC40"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10</w:t>
            </w:r>
          </w:p>
        </w:tc>
        <w:tc>
          <w:tcPr>
            <w:tcW w:w="10065" w:type="dxa"/>
            <w:shd w:val="clear" w:color="auto" w:fill="auto"/>
            <w:vAlign w:val="bottom"/>
            <w:hideMark/>
          </w:tcPr>
          <w:p w14:paraId="02BDF76D"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Master Direction - Reserve Bank of India (Classification, Valuation and Operation of Investment Portfolio of Primary (Urban) Co-operative Banks) Directions, 2023</w:t>
            </w:r>
          </w:p>
        </w:tc>
      </w:tr>
      <w:tr w:rsidR="00A92A00" w:rsidRPr="00A92A00" w14:paraId="5CB98E84" w14:textId="77777777" w:rsidTr="00A92A00">
        <w:trPr>
          <w:trHeight w:val="416"/>
        </w:trPr>
        <w:tc>
          <w:tcPr>
            <w:tcW w:w="993" w:type="dxa"/>
            <w:shd w:val="clear" w:color="auto" w:fill="auto"/>
            <w:noWrap/>
            <w:vAlign w:val="center"/>
            <w:hideMark/>
          </w:tcPr>
          <w:p w14:paraId="7359FFBD" w14:textId="6926F595"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11</w:t>
            </w:r>
          </w:p>
        </w:tc>
        <w:tc>
          <w:tcPr>
            <w:tcW w:w="10065" w:type="dxa"/>
            <w:shd w:val="clear" w:color="auto" w:fill="auto"/>
            <w:vAlign w:val="center"/>
            <w:hideMark/>
          </w:tcPr>
          <w:p w14:paraId="5EB4E4C7"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Master Circular - Bank Finance to Non-Banking Financial Companies (NBFCs)</w:t>
            </w:r>
          </w:p>
        </w:tc>
      </w:tr>
      <w:tr w:rsidR="00A92A00" w:rsidRPr="00A92A00" w14:paraId="3F297332" w14:textId="77777777" w:rsidTr="00A92A00">
        <w:trPr>
          <w:trHeight w:val="411"/>
        </w:trPr>
        <w:tc>
          <w:tcPr>
            <w:tcW w:w="993" w:type="dxa"/>
            <w:shd w:val="clear" w:color="auto" w:fill="auto"/>
            <w:noWrap/>
            <w:vAlign w:val="center"/>
            <w:hideMark/>
          </w:tcPr>
          <w:p w14:paraId="559D5131" w14:textId="6E9ACC90"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12</w:t>
            </w:r>
          </w:p>
        </w:tc>
        <w:tc>
          <w:tcPr>
            <w:tcW w:w="10065" w:type="dxa"/>
            <w:shd w:val="clear" w:color="auto" w:fill="auto"/>
            <w:vAlign w:val="center"/>
            <w:hideMark/>
          </w:tcPr>
          <w:p w14:paraId="0F40AC94"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Master Direction on Outsourcing of Information Technology Services</w:t>
            </w:r>
          </w:p>
        </w:tc>
      </w:tr>
      <w:tr w:rsidR="00A92A00" w:rsidRPr="00A92A00" w14:paraId="6B464938" w14:textId="77777777" w:rsidTr="00A92A00">
        <w:trPr>
          <w:trHeight w:val="416"/>
        </w:trPr>
        <w:tc>
          <w:tcPr>
            <w:tcW w:w="993" w:type="dxa"/>
            <w:shd w:val="clear" w:color="auto" w:fill="auto"/>
            <w:noWrap/>
            <w:vAlign w:val="center"/>
            <w:hideMark/>
          </w:tcPr>
          <w:p w14:paraId="34351F4E" w14:textId="5E03F72F"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13</w:t>
            </w:r>
          </w:p>
        </w:tc>
        <w:tc>
          <w:tcPr>
            <w:tcW w:w="10065" w:type="dxa"/>
            <w:shd w:val="clear" w:color="auto" w:fill="auto"/>
            <w:vAlign w:val="center"/>
            <w:hideMark/>
          </w:tcPr>
          <w:p w14:paraId="74FEBA84"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Framework for acceptance of Green Deposits</w:t>
            </w:r>
          </w:p>
        </w:tc>
      </w:tr>
      <w:tr w:rsidR="00A92A00" w:rsidRPr="00A92A00" w14:paraId="18DEBA53" w14:textId="77777777" w:rsidTr="00A92A00">
        <w:trPr>
          <w:trHeight w:val="423"/>
        </w:trPr>
        <w:tc>
          <w:tcPr>
            <w:tcW w:w="993" w:type="dxa"/>
            <w:shd w:val="clear" w:color="auto" w:fill="auto"/>
            <w:noWrap/>
            <w:vAlign w:val="center"/>
            <w:hideMark/>
          </w:tcPr>
          <w:p w14:paraId="0273DF82" w14:textId="67DE4D45"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14</w:t>
            </w:r>
          </w:p>
        </w:tc>
        <w:tc>
          <w:tcPr>
            <w:tcW w:w="10065" w:type="dxa"/>
            <w:shd w:val="clear" w:color="auto" w:fill="auto"/>
            <w:vAlign w:val="bottom"/>
            <w:hideMark/>
          </w:tcPr>
          <w:p w14:paraId="325242F0"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Master Circular- Prudential Norms on Capital Adequacy - Primary (Urban) Co-operative Banks (UCBs)</w:t>
            </w:r>
          </w:p>
        </w:tc>
      </w:tr>
      <w:tr w:rsidR="00A92A00" w:rsidRPr="00A92A00" w14:paraId="6AE0C9F4" w14:textId="77777777" w:rsidTr="00A92A00">
        <w:trPr>
          <w:trHeight w:val="698"/>
        </w:trPr>
        <w:tc>
          <w:tcPr>
            <w:tcW w:w="993" w:type="dxa"/>
            <w:shd w:val="clear" w:color="auto" w:fill="auto"/>
            <w:noWrap/>
            <w:vAlign w:val="center"/>
            <w:hideMark/>
          </w:tcPr>
          <w:p w14:paraId="339EB10F" w14:textId="75A66A67"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15</w:t>
            </w:r>
          </w:p>
        </w:tc>
        <w:tc>
          <w:tcPr>
            <w:tcW w:w="10065" w:type="dxa"/>
            <w:shd w:val="clear" w:color="auto" w:fill="auto"/>
            <w:vAlign w:val="bottom"/>
            <w:hideMark/>
          </w:tcPr>
          <w:p w14:paraId="69FB5B0C"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Provisioning for standard assets by primary (Urban) co-operative banks - revised norms under four-tiered regulatory framework</w:t>
            </w:r>
          </w:p>
        </w:tc>
      </w:tr>
      <w:tr w:rsidR="00A92A00" w:rsidRPr="00A92A00" w14:paraId="48BF45A2" w14:textId="77777777" w:rsidTr="00A92A00">
        <w:trPr>
          <w:trHeight w:val="566"/>
        </w:trPr>
        <w:tc>
          <w:tcPr>
            <w:tcW w:w="993" w:type="dxa"/>
            <w:shd w:val="clear" w:color="auto" w:fill="auto"/>
            <w:noWrap/>
            <w:vAlign w:val="center"/>
            <w:hideMark/>
          </w:tcPr>
          <w:p w14:paraId="4CB07360" w14:textId="4E26581B"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16</w:t>
            </w:r>
          </w:p>
        </w:tc>
        <w:tc>
          <w:tcPr>
            <w:tcW w:w="10065" w:type="dxa"/>
            <w:shd w:val="clear" w:color="auto" w:fill="auto"/>
            <w:vAlign w:val="bottom"/>
            <w:hideMark/>
          </w:tcPr>
          <w:p w14:paraId="28470CB5" w14:textId="593FF0E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 xml:space="preserve">Master Circular - Income Recognition, Asset Classification, Provisioning and Other Related Matters </w:t>
            </w:r>
            <w:r w:rsidR="009A6CFA">
              <w:rPr>
                <w:rFonts w:ascii="Calibri" w:eastAsia="Times New Roman" w:hAnsi="Calibri" w:cs="Calibri"/>
                <w:color w:val="000000"/>
                <w:kern w:val="0"/>
                <w:sz w:val="24"/>
                <w:szCs w:val="24"/>
                <w:lang w:eastAsia="en-IN"/>
                <w14:ligatures w14:val="none"/>
              </w:rPr>
              <w:t>–</w:t>
            </w:r>
            <w:r w:rsidRPr="00A92A00">
              <w:rPr>
                <w:rFonts w:ascii="Calibri" w:eastAsia="Times New Roman" w:hAnsi="Calibri" w:cs="Calibri"/>
                <w:color w:val="000000"/>
                <w:kern w:val="0"/>
                <w:sz w:val="24"/>
                <w:szCs w:val="24"/>
                <w:lang w:eastAsia="en-IN"/>
                <w14:ligatures w14:val="none"/>
              </w:rPr>
              <w:t xml:space="preserve"> UCBs</w:t>
            </w:r>
          </w:p>
        </w:tc>
      </w:tr>
      <w:tr w:rsidR="00A92A00" w:rsidRPr="00A92A00" w14:paraId="2A91EC62" w14:textId="77777777" w:rsidTr="00A92A00">
        <w:trPr>
          <w:trHeight w:val="391"/>
        </w:trPr>
        <w:tc>
          <w:tcPr>
            <w:tcW w:w="993" w:type="dxa"/>
            <w:shd w:val="clear" w:color="auto" w:fill="auto"/>
            <w:noWrap/>
            <w:vAlign w:val="center"/>
            <w:hideMark/>
          </w:tcPr>
          <w:p w14:paraId="6CDF356F" w14:textId="470926B8"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17</w:t>
            </w:r>
          </w:p>
        </w:tc>
        <w:tc>
          <w:tcPr>
            <w:tcW w:w="10065" w:type="dxa"/>
            <w:shd w:val="clear" w:color="auto" w:fill="auto"/>
            <w:vAlign w:val="bottom"/>
            <w:hideMark/>
          </w:tcPr>
          <w:p w14:paraId="4A11DE82"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Formalisation of Informal Micro Enterprises on Udyam Assist Platform</w:t>
            </w:r>
          </w:p>
        </w:tc>
      </w:tr>
      <w:tr w:rsidR="00A92A00" w:rsidRPr="00A92A00" w14:paraId="6BC20330" w14:textId="77777777" w:rsidTr="00A92A00">
        <w:trPr>
          <w:trHeight w:val="312"/>
        </w:trPr>
        <w:tc>
          <w:tcPr>
            <w:tcW w:w="993" w:type="dxa"/>
            <w:shd w:val="clear" w:color="auto" w:fill="auto"/>
            <w:noWrap/>
            <w:vAlign w:val="center"/>
            <w:hideMark/>
          </w:tcPr>
          <w:p w14:paraId="3B262632" w14:textId="18CD307C"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18</w:t>
            </w:r>
          </w:p>
        </w:tc>
        <w:tc>
          <w:tcPr>
            <w:tcW w:w="10065" w:type="dxa"/>
            <w:shd w:val="clear" w:color="auto" w:fill="auto"/>
            <w:vAlign w:val="bottom"/>
            <w:hideMark/>
          </w:tcPr>
          <w:p w14:paraId="419427A7"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LIBOR Transition</w:t>
            </w:r>
          </w:p>
        </w:tc>
      </w:tr>
      <w:tr w:rsidR="00A92A00" w:rsidRPr="00A92A00" w14:paraId="30071E81" w14:textId="77777777" w:rsidTr="00A92A00">
        <w:trPr>
          <w:trHeight w:val="373"/>
        </w:trPr>
        <w:tc>
          <w:tcPr>
            <w:tcW w:w="993" w:type="dxa"/>
            <w:shd w:val="clear" w:color="auto" w:fill="auto"/>
            <w:noWrap/>
            <w:vAlign w:val="center"/>
            <w:hideMark/>
          </w:tcPr>
          <w:p w14:paraId="0D013A42" w14:textId="0CB34312"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19</w:t>
            </w:r>
          </w:p>
        </w:tc>
        <w:tc>
          <w:tcPr>
            <w:tcW w:w="10065" w:type="dxa"/>
            <w:shd w:val="clear" w:color="auto" w:fill="auto"/>
            <w:vAlign w:val="bottom"/>
            <w:hideMark/>
          </w:tcPr>
          <w:p w14:paraId="0324A629"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Master Circular - Basel III Capital Regulations</w:t>
            </w:r>
          </w:p>
        </w:tc>
      </w:tr>
      <w:tr w:rsidR="00A92A00" w:rsidRPr="00A92A00" w14:paraId="19BDC677" w14:textId="77777777" w:rsidTr="00A92A00">
        <w:trPr>
          <w:trHeight w:val="421"/>
        </w:trPr>
        <w:tc>
          <w:tcPr>
            <w:tcW w:w="993" w:type="dxa"/>
            <w:shd w:val="clear" w:color="auto" w:fill="auto"/>
            <w:noWrap/>
            <w:vAlign w:val="center"/>
            <w:hideMark/>
          </w:tcPr>
          <w:p w14:paraId="1C2A09C5" w14:textId="7DA2AC40"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20</w:t>
            </w:r>
          </w:p>
        </w:tc>
        <w:tc>
          <w:tcPr>
            <w:tcW w:w="10065" w:type="dxa"/>
            <w:shd w:val="clear" w:color="auto" w:fill="auto"/>
            <w:vAlign w:val="bottom"/>
            <w:hideMark/>
          </w:tcPr>
          <w:p w14:paraId="13C578F3"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Risk Management and Inter-Bank Dealings - Non-deliverable derivative contracts (NDDCs)</w:t>
            </w:r>
          </w:p>
        </w:tc>
      </w:tr>
      <w:tr w:rsidR="00A92A00" w:rsidRPr="00A92A00" w14:paraId="466D6D96" w14:textId="77777777" w:rsidTr="00A92A00">
        <w:trPr>
          <w:trHeight w:val="271"/>
        </w:trPr>
        <w:tc>
          <w:tcPr>
            <w:tcW w:w="993" w:type="dxa"/>
            <w:shd w:val="clear" w:color="auto" w:fill="auto"/>
            <w:noWrap/>
            <w:vAlign w:val="center"/>
            <w:hideMark/>
          </w:tcPr>
          <w:p w14:paraId="207381F3" w14:textId="1D8B07BF"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21</w:t>
            </w:r>
          </w:p>
        </w:tc>
        <w:tc>
          <w:tcPr>
            <w:tcW w:w="10065" w:type="dxa"/>
            <w:shd w:val="clear" w:color="auto" w:fill="auto"/>
            <w:vAlign w:val="bottom"/>
            <w:hideMark/>
          </w:tcPr>
          <w:p w14:paraId="0A4CFC08"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Framework for Compromise Settlements and Technical Write-offs</w:t>
            </w:r>
          </w:p>
        </w:tc>
      </w:tr>
      <w:tr w:rsidR="00A92A00" w:rsidRPr="00A92A00" w14:paraId="435EFA9D" w14:textId="77777777" w:rsidTr="00A92A00">
        <w:trPr>
          <w:trHeight w:val="261"/>
        </w:trPr>
        <w:tc>
          <w:tcPr>
            <w:tcW w:w="993" w:type="dxa"/>
            <w:shd w:val="clear" w:color="auto" w:fill="auto"/>
            <w:noWrap/>
            <w:vAlign w:val="center"/>
            <w:hideMark/>
          </w:tcPr>
          <w:p w14:paraId="6F11F38C" w14:textId="269006BE"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22</w:t>
            </w:r>
          </w:p>
        </w:tc>
        <w:tc>
          <w:tcPr>
            <w:tcW w:w="10065" w:type="dxa"/>
            <w:shd w:val="clear" w:color="auto" w:fill="auto"/>
            <w:vAlign w:val="bottom"/>
            <w:hideMark/>
          </w:tcPr>
          <w:p w14:paraId="1EB93CD2"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Guidelines on Default Loss Guarantee (DLG) in Digital Lending</w:t>
            </w:r>
          </w:p>
        </w:tc>
      </w:tr>
      <w:tr w:rsidR="00A92A00" w:rsidRPr="00A92A00" w14:paraId="3C791A22" w14:textId="77777777" w:rsidTr="00A92A00">
        <w:trPr>
          <w:trHeight w:val="648"/>
        </w:trPr>
        <w:tc>
          <w:tcPr>
            <w:tcW w:w="993" w:type="dxa"/>
            <w:shd w:val="clear" w:color="auto" w:fill="auto"/>
            <w:noWrap/>
            <w:vAlign w:val="center"/>
            <w:hideMark/>
          </w:tcPr>
          <w:p w14:paraId="2DC126F6" w14:textId="3D943C28"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23</w:t>
            </w:r>
          </w:p>
        </w:tc>
        <w:tc>
          <w:tcPr>
            <w:tcW w:w="10065" w:type="dxa"/>
            <w:shd w:val="clear" w:color="auto" w:fill="auto"/>
            <w:vAlign w:val="bottom"/>
            <w:hideMark/>
          </w:tcPr>
          <w:p w14:paraId="6600819C"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Priority Sector Lending (PSL) targets / sub-targets and contribution against shortfall in achievement of PSL targets - Primary (Urban) Co-operative Banks (UCBs) - Extension of time</w:t>
            </w:r>
          </w:p>
        </w:tc>
      </w:tr>
      <w:tr w:rsidR="00A92A00" w:rsidRPr="00A92A00" w14:paraId="17510042" w14:textId="77777777" w:rsidTr="00A92A00">
        <w:trPr>
          <w:trHeight w:val="431"/>
        </w:trPr>
        <w:tc>
          <w:tcPr>
            <w:tcW w:w="993" w:type="dxa"/>
            <w:shd w:val="clear" w:color="auto" w:fill="auto"/>
            <w:noWrap/>
            <w:vAlign w:val="center"/>
            <w:hideMark/>
          </w:tcPr>
          <w:p w14:paraId="0CEC69BD" w14:textId="027CC500"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24</w:t>
            </w:r>
          </w:p>
        </w:tc>
        <w:tc>
          <w:tcPr>
            <w:tcW w:w="10065" w:type="dxa"/>
            <w:shd w:val="clear" w:color="auto" w:fill="auto"/>
            <w:vAlign w:val="bottom"/>
            <w:hideMark/>
          </w:tcPr>
          <w:p w14:paraId="64A133E7"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Status of MIFOR as a Significant Benchmark</w:t>
            </w:r>
          </w:p>
        </w:tc>
      </w:tr>
      <w:tr w:rsidR="00A92A00" w:rsidRPr="00A92A00" w14:paraId="65A60971" w14:textId="77777777" w:rsidTr="00A92A00">
        <w:trPr>
          <w:trHeight w:val="409"/>
        </w:trPr>
        <w:tc>
          <w:tcPr>
            <w:tcW w:w="993" w:type="dxa"/>
            <w:shd w:val="clear" w:color="auto" w:fill="auto"/>
            <w:noWrap/>
            <w:vAlign w:val="center"/>
            <w:hideMark/>
          </w:tcPr>
          <w:p w14:paraId="1983A791" w14:textId="02B43A2E" w:rsidR="00A92A00" w:rsidRPr="00A92A00" w:rsidRDefault="00A92A00" w:rsidP="00A92A00">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25</w:t>
            </w:r>
          </w:p>
        </w:tc>
        <w:tc>
          <w:tcPr>
            <w:tcW w:w="10065" w:type="dxa"/>
            <w:shd w:val="clear" w:color="auto" w:fill="auto"/>
            <w:vAlign w:val="bottom"/>
            <w:hideMark/>
          </w:tcPr>
          <w:p w14:paraId="6AC01301" w14:textId="77777777" w:rsidR="00A92A00" w:rsidRPr="00A92A00" w:rsidRDefault="00A92A00" w:rsidP="00A92A00">
            <w:pPr>
              <w:spacing w:after="0" w:line="240" w:lineRule="auto"/>
              <w:rPr>
                <w:rFonts w:ascii="Calibri" w:eastAsia="Times New Roman" w:hAnsi="Calibri" w:cs="Calibri"/>
                <w:color w:val="000000"/>
                <w:kern w:val="0"/>
                <w:sz w:val="24"/>
                <w:szCs w:val="24"/>
                <w:lang w:eastAsia="en-IN"/>
                <w14:ligatures w14:val="none"/>
              </w:rPr>
            </w:pPr>
            <w:r w:rsidRPr="00A92A00">
              <w:rPr>
                <w:rFonts w:ascii="Calibri" w:eastAsia="Times New Roman" w:hAnsi="Calibri" w:cs="Calibri"/>
                <w:color w:val="000000"/>
                <w:kern w:val="0"/>
                <w:sz w:val="24"/>
                <w:szCs w:val="24"/>
                <w:lang w:eastAsia="en-IN"/>
                <w14:ligatures w14:val="none"/>
              </w:rPr>
              <w:t>Master Direction on Minimum Capital Requirements for Operational Risk</w:t>
            </w:r>
          </w:p>
        </w:tc>
      </w:tr>
    </w:tbl>
    <w:p w14:paraId="29CC1045" w14:textId="77777777" w:rsidR="00A92A00" w:rsidRDefault="00A92A00" w:rsidP="00A92A00">
      <w:pPr>
        <w:rPr>
          <w:lang w:val="en-US"/>
        </w:rPr>
      </w:pPr>
    </w:p>
    <w:p w14:paraId="3B5FDD73" w14:textId="77777777" w:rsidR="009A6CFA" w:rsidRDefault="009A6CFA" w:rsidP="00A92A00">
      <w:pPr>
        <w:rPr>
          <w:lang w:val="en-US"/>
        </w:rPr>
      </w:pPr>
    </w:p>
    <w:p w14:paraId="2DD4AB70" w14:textId="77777777" w:rsidR="009A6CFA" w:rsidRDefault="009A6CFA" w:rsidP="009A6CFA">
      <w:pPr>
        <w:pStyle w:val="NormalWeb"/>
        <w:rPr>
          <w:rFonts w:ascii="Arial" w:hAnsi="Arial" w:cs="Arial"/>
          <w:b/>
          <w:bCs/>
          <w:color w:val="000000"/>
          <w:sz w:val="20"/>
          <w:szCs w:val="20"/>
        </w:rPr>
      </w:pPr>
      <w:bookmarkStart w:id="1" w:name="OLE_LINK4"/>
      <w:bookmarkStart w:id="2" w:name="_Hlk141826120"/>
      <w:r>
        <w:rPr>
          <w:rFonts w:ascii="Arial" w:hAnsi="Arial" w:cs="Arial"/>
          <w:b/>
          <w:bCs/>
          <w:color w:val="000000"/>
          <w:sz w:val="20"/>
          <w:szCs w:val="20"/>
        </w:rPr>
        <w:lastRenderedPageBreak/>
        <w:t>Basel III Capital Regulations - Eligible Credit Rating Agencies</w:t>
      </w:r>
    </w:p>
    <w:bookmarkEnd w:id="1"/>
    <w:p w14:paraId="52C1A521"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RBI/2022-23/162</w:t>
      </w:r>
      <w:r>
        <w:rPr>
          <w:rFonts w:ascii="Arial" w:hAnsi="Arial" w:cs="Arial"/>
          <w:color w:val="000000"/>
          <w:sz w:val="20"/>
          <w:szCs w:val="20"/>
        </w:rPr>
        <w:br/>
        <w:t>DOR.STR.REC.94/21.06.008/2022-23</w:t>
      </w:r>
    </w:p>
    <w:p w14:paraId="69E8BABA"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January 09, 2023</w:t>
      </w:r>
    </w:p>
    <w:p w14:paraId="20506650"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(including Small Finance Banks)</w:t>
      </w:r>
      <w:r>
        <w:rPr>
          <w:rFonts w:ascii="Arial" w:hAnsi="Arial" w:cs="Arial"/>
          <w:color w:val="000000"/>
          <w:sz w:val="20"/>
          <w:szCs w:val="20"/>
        </w:rPr>
        <w:br/>
        <w:t>(excluding Local Area Banks, Payments Banks and Regional Rural Banks)</w:t>
      </w:r>
    </w:p>
    <w:p w14:paraId="4771BE63"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Dear Sir/ Madam,</w:t>
      </w:r>
    </w:p>
    <w:p w14:paraId="71A1C610"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Basel III Capital Regulations - Eligible Credit Rating Agencies</w:t>
      </w:r>
    </w:p>
    <w:p w14:paraId="66383571"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Please refer to paragraph 6.1.2 of the </w:t>
      </w:r>
      <w:hyperlink r:id="rId5" w:tgtFrame="_blank" w:history="1">
        <w:r>
          <w:rPr>
            <w:rStyle w:val="Hyperlink"/>
            <w:rFonts w:ascii="Arial" w:hAnsi="Arial" w:cs="Arial"/>
            <w:sz w:val="20"/>
            <w:szCs w:val="20"/>
          </w:rPr>
          <w:t>Master Circular DOR.CAP.REC.3/21.06.201/2022-23 dated April 01, 2022</w:t>
        </w:r>
      </w:hyperlink>
      <w:r>
        <w:rPr>
          <w:rFonts w:ascii="Arial" w:hAnsi="Arial" w:cs="Arial"/>
          <w:color w:val="000000"/>
          <w:sz w:val="20"/>
          <w:szCs w:val="20"/>
        </w:rPr>
        <w:t> on Basel III Capital Regulations, wherein the list of domestic credit rating agencies accredited for the purpose of risk weighting banks' claims for capital adequacy purposes has been prescribed.</w:t>
      </w:r>
    </w:p>
    <w:p w14:paraId="156723F8"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2. On a review, banks are advised to use the ratings of the following domestic credit rating agencies (arranged in alphabetical order) for risk weighting their claims for capital adequacy purposes:</w:t>
      </w:r>
    </w:p>
    <w:p w14:paraId="30DB947F" w14:textId="77777777" w:rsidR="009A6CFA" w:rsidRDefault="009A6CFA" w:rsidP="009A6CFA">
      <w:pPr>
        <w:pStyle w:val="NormalWeb"/>
        <w:numPr>
          <w:ilvl w:val="0"/>
          <w:numId w:val="1"/>
        </w:numPr>
        <w:ind w:left="0"/>
        <w:jc w:val="both"/>
        <w:rPr>
          <w:rFonts w:ascii="Arial" w:hAnsi="Arial" w:cs="Arial"/>
          <w:color w:val="000000"/>
          <w:sz w:val="20"/>
          <w:szCs w:val="20"/>
        </w:rPr>
      </w:pPr>
      <w:proofErr w:type="spellStart"/>
      <w:r>
        <w:rPr>
          <w:rFonts w:ascii="Arial" w:hAnsi="Arial" w:cs="Arial"/>
          <w:color w:val="000000"/>
          <w:sz w:val="20"/>
          <w:szCs w:val="20"/>
        </w:rPr>
        <w:t>Acuite</w:t>
      </w:r>
      <w:proofErr w:type="spellEnd"/>
      <w:r>
        <w:rPr>
          <w:rFonts w:ascii="Arial" w:hAnsi="Arial" w:cs="Arial"/>
          <w:color w:val="000000"/>
          <w:sz w:val="20"/>
          <w:szCs w:val="20"/>
        </w:rPr>
        <w:t xml:space="preserve"> Ratings &amp; Research Limited (</w:t>
      </w:r>
      <w:proofErr w:type="spellStart"/>
      <w:r>
        <w:rPr>
          <w:rFonts w:ascii="Arial" w:hAnsi="Arial" w:cs="Arial"/>
          <w:color w:val="000000"/>
          <w:sz w:val="20"/>
          <w:szCs w:val="20"/>
        </w:rPr>
        <w:t>Acuite</w:t>
      </w:r>
      <w:proofErr w:type="spellEnd"/>
      <w:r>
        <w:rPr>
          <w:rFonts w:ascii="Arial" w:hAnsi="Arial" w:cs="Arial"/>
          <w:color w:val="000000"/>
          <w:sz w:val="20"/>
          <w:szCs w:val="20"/>
        </w:rPr>
        <w:t>)</w:t>
      </w:r>
    </w:p>
    <w:p w14:paraId="72DC96D6" w14:textId="77777777" w:rsidR="009A6CFA" w:rsidRDefault="009A6CFA" w:rsidP="009A6CFA">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Credit Analysis and Research Limited (CARE);</w:t>
      </w:r>
    </w:p>
    <w:p w14:paraId="1393939E" w14:textId="77777777" w:rsidR="009A6CFA" w:rsidRDefault="009A6CFA" w:rsidP="009A6CFA">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CRISIL Ratings Limited;</w:t>
      </w:r>
    </w:p>
    <w:p w14:paraId="1F92E240" w14:textId="77777777" w:rsidR="009A6CFA" w:rsidRDefault="009A6CFA" w:rsidP="009A6CFA">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ICRA Limited;</w:t>
      </w:r>
    </w:p>
    <w:p w14:paraId="60FE8086" w14:textId="77777777" w:rsidR="009A6CFA" w:rsidRDefault="009A6CFA" w:rsidP="009A6CFA">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India Ratings and Research Private Limited (India Ratings); and</w:t>
      </w:r>
    </w:p>
    <w:p w14:paraId="1E957544" w14:textId="77777777" w:rsidR="009A6CFA" w:rsidRDefault="009A6CFA" w:rsidP="009A6CFA">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INFOMERICS Valuation and Rating Pvt Ltd. (INFOMERICS)</w:t>
      </w:r>
    </w:p>
    <w:p w14:paraId="66C06A59"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3. A reference is also invited to the </w:t>
      </w:r>
      <w:hyperlink r:id="rId6" w:tgtFrame="_blank" w:history="1">
        <w:r>
          <w:rPr>
            <w:rStyle w:val="Hyperlink"/>
            <w:rFonts w:ascii="Arial" w:hAnsi="Arial" w:cs="Arial"/>
            <w:sz w:val="20"/>
            <w:szCs w:val="20"/>
          </w:rPr>
          <w:t>Press Release: 2022-2023/1033 dated October 12, 2022</w:t>
        </w:r>
      </w:hyperlink>
      <w:r>
        <w:rPr>
          <w:rFonts w:ascii="Arial" w:hAnsi="Arial" w:cs="Arial"/>
          <w:color w:val="000000"/>
          <w:sz w:val="20"/>
          <w:szCs w:val="20"/>
        </w:rPr>
        <w:t> in terms of which, Regulated Entities/ Market Participants were advised that in respect of ratings/credit evaluations required in terms of any guidelines issued by the Reserve Bank, no such fresh ratings/evaluations shall be obtained from Brickwork Ratings India Private Limited. Banks shall continue to be guided by the press release ibid till further review.</w:t>
      </w:r>
    </w:p>
    <w:p w14:paraId="7EBCBE75"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4. All other provisions regarding external credit ratings stipulated in the Master Circular ibid remain unchanged.</w:t>
      </w:r>
    </w:p>
    <w:p w14:paraId="29E37E73"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Yours faithfully,</w:t>
      </w:r>
    </w:p>
    <w:p w14:paraId="1776C3A4"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423C3774" w14:textId="77777777" w:rsidR="009A6CFA" w:rsidRDefault="009A6CFA" w:rsidP="009A6CFA">
      <w:pPr>
        <w:pStyle w:val="NormalWeb"/>
      </w:pPr>
    </w:p>
    <w:p w14:paraId="1B2844EB" w14:textId="77777777" w:rsidR="009A6CFA" w:rsidRDefault="009A6CFA" w:rsidP="009A6CFA">
      <w:pPr>
        <w:pStyle w:val="NormalWeb"/>
      </w:pPr>
    </w:p>
    <w:p w14:paraId="72E8B4CC" w14:textId="77777777" w:rsidR="009A6CFA" w:rsidRDefault="009A6CFA" w:rsidP="009A6CFA">
      <w:pPr>
        <w:pStyle w:val="NormalWeb"/>
      </w:pPr>
    </w:p>
    <w:p w14:paraId="646CF69C" w14:textId="77777777" w:rsidR="009A6CFA" w:rsidRDefault="009A6CFA" w:rsidP="009A6CFA">
      <w:pPr>
        <w:pStyle w:val="NormalWeb"/>
      </w:pPr>
    </w:p>
    <w:p w14:paraId="433DAC4B" w14:textId="77777777" w:rsidR="009A6CFA" w:rsidRDefault="009A6CFA" w:rsidP="009A6CFA">
      <w:r>
        <w:t>More details can be referred to in the below link.</w:t>
      </w:r>
    </w:p>
    <w:p w14:paraId="3007891F" w14:textId="77777777" w:rsidR="009A6CFA" w:rsidRDefault="009A6CFA" w:rsidP="009A6CF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 w:history="1">
        <w:r w:rsidRPr="005F425E">
          <w:rPr>
            <w:rStyle w:val="Hyperlink"/>
            <w:rFonts w:ascii="Arial" w:hAnsi="Arial" w:cs="Arial"/>
            <w:bCs/>
            <w:sz w:val="20"/>
            <w:szCs w:val="20"/>
          </w:rPr>
          <w:t>https://rbi.org.in/Scripts/NotificationUser.aspx?Id=12435&amp;Mode=0</w:t>
        </w:r>
      </w:hyperlink>
    </w:p>
    <w:p w14:paraId="41B4120F" w14:textId="77777777" w:rsidR="009A6CFA" w:rsidRDefault="009A6CFA" w:rsidP="009A6CFA">
      <w:pPr>
        <w:pStyle w:val="NormalWeb"/>
      </w:pPr>
      <w:bookmarkStart w:id="3" w:name="OLE_LINK5"/>
      <w:bookmarkStart w:id="4" w:name="_Hlk141826147"/>
      <w:bookmarkEnd w:id="2"/>
      <w:r>
        <w:rPr>
          <w:rFonts w:ascii="Arial" w:hAnsi="Arial" w:cs="Arial"/>
          <w:b/>
          <w:bCs/>
          <w:color w:val="000000"/>
          <w:sz w:val="20"/>
          <w:szCs w:val="20"/>
        </w:rPr>
        <w:lastRenderedPageBreak/>
        <w:t>Operational Risk Management: Price / Yield range setting in e-Kuber</w:t>
      </w:r>
      <w:r>
        <w:rPr>
          <w:rFonts w:ascii="Arial" w:hAnsi="Arial" w:cs="Arial"/>
          <w:bCs/>
          <w:color w:val="000000"/>
          <w:sz w:val="20"/>
          <w:szCs w:val="20"/>
        </w:rPr>
        <w:tab/>
      </w:r>
    </w:p>
    <w:bookmarkEnd w:id="3"/>
    <w:p w14:paraId="342592CE"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RBI/2022-23/163</w:t>
      </w:r>
      <w:r>
        <w:rPr>
          <w:rFonts w:ascii="Arial" w:hAnsi="Arial" w:cs="Arial"/>
          <w:color w:val="000000"/>
          <w:sz w:val="20"/>
          <w:szCs w:val="20"/>
        </w:rPr>
        <w:br/>
        <w:t>IDMD.No.S2800/08.02.032/2022-23</w:t>
      </w:r>
    </w:p>
    <w:p w14:paraId="207DBC02"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January 11, 2023</w:t>
      </w:r>
    </w:p>
    <w:p w14:paraId="12A26408"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All participants in the Government Securities Market</w:t>
      </w:r>
    </w:p>
    <w:p w14:paraId="7AE44F6F"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Dear Sir / Madam</w:t>
      </w:r>
    </w:p>
    <w:p w14:paraId="23C84EEF"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Operational Risk Management: Price / Yield range setting in e-Kuber</w:t>
      </w:r>
    </w:p>
    <w:p w14:paraId="5688F92B"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8" w:tgtFrame="_blank" w:history="1">
        <w:r>
          <w:rPr>
            <w:rStyle w:val="Hyperlink"/>
            <w:rFonts w:ascii="Arial" w:hAnsi="Arial" w:cs="Arial"/>
            <w:sz w:val="20"/>
            <w:szCs w:val="20"/>
          </w:rPr>
          <w:t>circular IDMD/1615/08.02.032/2019-20 dated December 12, 2019</w:t>
        </w:r>
      </w:hyperlink>
      <w:r>
        <w:rPr>
          <w:rFonts w:ascii="Arial" w:hAnsi="Arial" w:cs="Arial"/>
          <w:color w:val="000000"/>
          <w:sz w:val="20"/>
          <w:szCs w:val="20"/>
        </w:rPr>
        <w:t> advising the participants in the Government Securities (G-Sec) market about the “Price / Yield range setting” facility provided on the e-Kuber platform as a risk management measure. The facility allows a market participant to define a range i.e., a maximum and a minimum value for bids they intend to submit in an auction. The range can be set in either price or yield terms, for each security in every auction, which can be set before the auction and can also be modified during the auction. Once the limits are set by the participating entity, the bids in the auction are automatically validated against the set limits. This is expected to eliminate instances of Fat-finger / Big-figure error by the bidders in the G-Sec auctions.</w:t>
      </w:r>
    </w:p>
    <w:p w14:paraId="5FCBD85C"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2. As there have been a few instances of Fat-finger / Big-figure error by the bidders in the G-Sec auctions conducted by Reserve Bank, it suggests that some of the market participants are yet to put in place the “Price / Yield range setting” facility in their system.</w:t>
      </w:r>
    </w:p>
    <w:p w14:paraId="2A383749"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3. All the market participants are, therefore, advised to utilize the “Price / Yield range setting” facility provided on the e-Kuber platform before placing bids in the Primary Market auctions. It may be noted that no request for cancellation of bids will be entertained after the close of auction window.</w:t>
      </w:r>
    </w:p>
    <w:p w14:paraId="49ADBAA5"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Yours faithfully</w:t>
      </w:r>
    </w:p>
    <w:p w14:paraId="28DE1E97"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(S Venkataraman)</w:t>
      </w:r>
      <w:r>
        <w:rPr>
          <w:rFonts w:ascii="Arial" w:hAnsi="Arial" w:cs="Arial"/>
          <w:color w:val="000000"/>
          <w:sz w:val="20"/>
          <w:szCs w:val="20"/>
        </w:rPr>
        <w:br/>
        <w:t>General Manager</w:t>
      </w:r>
    </w:p>
    <w:p w14:paraId="6C4847BE" w14:textId="77777777" w:rsidR="009A6CFA" w:rsidRDefault="009A6CFA" w:rsidP="009A6CFA">
      <w:pPr>
        <w:pStyle w:val="NormalWeb"/>
      </w:pPr>
    </w:p>
    <w:p w14:paraId="2BF52967" w14:textId="77777777" w:rsidR="009A6CFA" w:rsidRDefault="009A6CFA" w:rsidP="009A6CFA">
      <w:pPr>
        <w:pStyle w:val="NormalWeb"/>
      </w:pPr>
    </w:p>
    <w:p w14:paraId="7742251D" w14:textId="77777777" w:rsidR="009A6CFA" w:rsidRDefault="009A6CFA" w:rsidP="009A6CFA">
      <w:pPr>
        <w:pStyle w:val="NormalWeb"/>
      </w:pPr>
    </w:p>
    <w:p w14:paraId="3F96BB6D" w14:textId="77777777" w:rsidR="009A6CFA" w:rsidRDefault="009A6CFA" w:rsidP="009A6CFA">
      <w:pPr>
        <w:pStyle w:val="NormalWeb"/>
      </w:pPr>
    </w:p>
    <w:p w14:paraId="14A12209" w14:textId="77777777" w:rsidR="009A6CFA" w:rsidRDefault="009A6CFA" w:rsidP="009A6CFA">
      <w:pPr>
        <w:pStyle w:val="NormalWeb"/>
      </w:pPr>
    </w:p>
    <w:p w14:paraId="04A37A28" w14:textId="77777777" w:rsidR="009A6CFA" w:rsidRDefault="009A6CFA" w:rsidP="009A6CFA">
      <w:pPr>
        <w:pStyle w:val="NormalWeb"/>
      </w:pPr>
    </w:p>
    <w:p w14:paraId="0E91FD91" w14:textId="77777777" w:rsidR="009A6CFA" w:rsidRDefault="009A6CFA" w:rsidP="009A6CFA">
      <w:r>
        <w:t>More details can be referred to in the below link.</w:t>
      </w:r>
    </w:p>
    <w:p w14:paraId="11B95D86" w14:textId="77777777" w:rsidR="009A6CFA" w:rsidRDefault="009A6CFA" w:rsidP="009A6CF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9" w:history="1">
        <w:r w:rsidRPr="005F425E">
          <w:rPr>
            <w:rStyle w:val="Hyperlink"/>
            <w:rFonts w:ascii="Arial" w:hAnsi="Arial" w:cs="Arial"/>
            <w:bCs/>
            <w:sz w:val="20"/>
            <w:szCs w:val="20"/>
          </w:rPr>
          <w:t>https://rbi.org.in/Scripts/NotificationUser.aspx?Id=12436&amp;Mode=0</w:t>
        </w:r>
      </w:hyperlink>
    </w:p>
    <w:bookmarkEnd w:id="4"/>
    <w:p w14:paraId="35699061" w14:textId="77777777" w:rsidR="009A6CFA" w:rsidRDefault="009A6CFA" w:rsidP="00A92A00">
      <w:pPr>
        <w:rPr>
          <w:lang w:val="en-US"/>
        </w:rPr>
      </w:pPr>
    </w:p>
    <w:p w14:paraId="182BA024" w14:textId="77777777" w:rsidR="009A6CFA" w:rsidRDefault="009A6CFA" w:rsidP="00A92A00">
      <w:pPr>
        <w:rPr>
          <w:lang w:val="en-US"/>
        </w:rPr>
      </w:pPr>
    </w:p>
    <w:p w14:paraId="405A56D6" w14:textId="77777777" w:rsidR="009A6CFA" w:rsidRDefault="009A6CFA" w:rsidP="009A6CFA">
      <w:pPr>
        <w:pStyle w:val="NormalWeb"/>
        <w:rPr>
          <w:rFonts w:ascii="Arial" w:hAnsi="Arial" w:cs="Arial"/>
          <w:b/>
          <w:bCs/>
          <w:color w:val="000000"/>
          <w:sz w:val="20"/>
          <w:szCs w:val="20"/>
        </w:rPr>
      </w:pPr>
      <w:bookmarkStart w:id="5" w:name="OLE_LINK24"/>
      <w:bookmarkStart w:id="6" w:name="_Hlk141824817"/>
      <w:r>
        <w:rPr>
          <w:rFonts w:ascii="Arial" w:hAnsi="Arial" w:cs="Arial"/>
          <w:b/>
          <w:bCs/>
          <w:color w:val="000000"/>
          <w:sz w:val="20"/>
          <w:szCs w:val="20"/>
        </w:rPr>
        <w:lastRenderedPageBreak/>
        <w:t>Governance, measurement and management of Interest Rate Risk in Banking Book</w:t>
      </w:r>
    </w:p>
    <w:bookmarkEnd w:id="5"/>
    <w:p w14:paraId="64C21460"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RBI/2022-23/180</w:t>
      </w:r>
      <w:r>
        <w:rPr>
          <w:rFonts w:ascii="Arial" w:hAnsi="Arial" w:cs="Arial"/>
          <w:color w:val="000000"/>
          <w:sz w:val="20"/>
          <w:szCs w:val="20"/>
        </w:rPr>
        <w:br/>
        <w:t>DOR.MRG.REC.102/00-00-009/2022-23</w:t>
      </w:r>
    </w:p>
    <w:p w14:paraId="04948F67"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February 17, 2023</w:t>
      </w:r>
    </w:p>
    <w:p w14:paraId="524E24CE"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Madam / Sir,</w:t>
      </w:r>
    </w:p>
    <w:p w14:paraId="1AE6CA21"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Governance, measurement and management of Interest Rate Risk in Banking Book</w:t>
      </w:r>
    </w:p>
    <w:p w14:paraId="22E51EEB"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Interest Rate Risk in Banking Book (IRRBB) refers to the current or prospective risk to banks’ capital and earnings arising from adverse movements in interest rates that affect its banking book positions. Excessive IRRBB can pose a significant risk to banks’ current capital base and/or future earnings. These guidelines, accordingly, require banks to measure, monitor, and disclose their exposure to IRRBB.</w:t>
      </w:r>
    </w:p>
    <w:p w14:paraId="4ADFE96C"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2. The final guidelines on Interest Rate Risk in Banking Book (IRRBB), in alignment with the revised framework issued by the Basel Committee on Banking Supervision (BCBS), are enclosed in </w:t>
      </w:r>
      <w:hyperlink r:id="rId10" w:anchor="AS" w:history="1">
        <w:r>
          <w:rPr>
            <w:rStyle w:val="Hyperlink"/>
            <w:rFonts w:ascii="Arial" w:hAnsi="Arial" w:cs="Arial"/>
            <w:sz w:val="20"/>
            <w:szCs w:val="20"/>
          </w:rPr>
          <w:t>Annex</w:t>
        </w:r>
      </w:hyperlink>
      <w:r>
        <w:rPr>
          <w:rFonts w:ascii="Arial" w:hAnsi="Arial" w:cs="Arial"/>
          <w:color w:val="000000"/>
          <w:sz w:val="20"/>
          <w:szCs w:val="20"/>
        </w:rPr>
        <w:t>.</w:t>
      </w:r>
    </w:p>
    <w:p w14:paraId="0B0ABC17"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3. Commencement</w:t>
      </w:r>
    </w:p>
    <w:p w14:paraId="35DE6864"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(a) The date for implementation will be communicated in due course. Banks are advised to be in preparedness for measuring, monitoring, and disclosing their exposure to interest rate risk in the banking book in terms of this circular.</w:t>
      </w:r>
    </w:p>
    <w:p w14:paraId="30579A59"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(b) Ahead of the implementation, banks shall submit the disclosures stipulated in Table B of </w:t>
      </w:r>
      <w:hyperlink r:id="rId11" w:tgtFrame="_blank" w:history="1">
        <w:r>
          <w:rPr>
            <w:rStyle w:val="Hyperlink"/>
            <w:rFonts w:ascii="Arial" w:hAnsi="Arial" w:cs="Arial"/>
            <w:sz w:val="20"/>
            <w:szCs w:val="20"/>
          </w:rPr>
          <w:t>Appendix-3</w:t>
        </w:r>
      </w:hyperlink>
      <w:r>
        <w:rPr>
          <w:rFonts w:ascii="Arial" w:hAnsi="Arial" w:cs="Arial"/>
          <w:color w:val="000000"/>
          <w:sz w:val="20"/>
          <w:szCs w:val="20"/>
        </w:rPr>
        <w:t> to the Department of Regulation, Reserve Bank of India (by e-mail: </w:t>
      </w:r>
      <w:hyperlink r:id="rId12" w:history="1">
        <w:r>
          <w:rPr>
            <w:rStyle w:val="Hyperlink"/>
            <w:rFonts w:ascii="Arial" w:hAnsi="Arial" w:cs="Arial"/>
            <w:sz w:val="20"/>
            <w:szCs w:val="20"/>
          </w:rPr>
          <w:t>mrgdor@rbi.org.in</w:t>
        </w:r>
      </w:hyperlink>
      <w:r>
        <w:rPr>
          <w:rFonts w:ascii="Arial" w:hAnsi="Arial" w:cs="Arial"/>
          <w:color w:val="000000"/>
          <w:sz w:val="20"/>
          <w:szCs w:val="20"/>
        </w:rPr>
        <w:t>) within two months from the end of the respective quarter, as per following schedule:</w:t>
      </w:r>
    </w:p>
    <w:tbl>
      <w:tblPr>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3"/>
        <w:gridCol w:w="1893"/>
        <w:gridCol w:w="2335"/>
      </w:tblGrid>
      <w:tr w:rsidR="009A6CFA" w14:paraId="6954D4FB" w14:textId="77777777" w:rsidTr="00781F9A">
        <w:trPr>
          <w:jc w:val="center"/>
        </w:trPr>
        <w:tc>
          <w:tcPr>
            <w:tcW w:w="1650" w:type="pct"/>
            <w:tcMar>
              <w:top w:w="0" w:type="dxa"/>
              <w:left w:w="45" w:type="dxa"/>
              <w:bottom w:w="0" w:type="dxa"/>
              <w:right w:w="45" w:type="dxa"/>
            </w:tcMar>
            <w:vAlign w:val="center"/>
            <w:hideMark/>
          </w:tcPr>
          <w:p w14:paraId="2BC90FE4" w14:textId="77777777" w:rsidR="009A6CFA" w:rsidRDefault="009A6CFA" w:rsidP="00781F9A">
            <w:pPr>
              <w:jc w:val="center"/>
              <w:rPr>
                <w:rFonts w:ascii="Arial" w:hAnsi="Arial" w:cs="Arial"/>
                <w:b/>
                <w:bCs/>
                <w:color w:val="000000"/>
                <w:sz w:val="20"/>
                <w:szCs w:val="20"/>
              </w:rPr>
            </w:pPr>
            <w:r>
              <w:rPr>
                <w:rFonts w:ascii="Arial" w:hAnsi="Arial" w:cs="Arial"/>
                <w:b/>
                <w:bCs/>
                <w:color w:val="000000"/>
                <w:sz w:val="20"/>
                <w:szCs w:val="20"/>
              </w:rPr>
              <w:t>Entities</w:t>
            </w:r>
          </w:p>
        </w:tc>
        <w:tc>
          <w:tcPr>
            <w:tcW w:w="1500" w:type="pct"/>
            <w:tcMar>
              <w:top w:w="0" w:type="dxa"/>
              <w:left w:w="45" w:type="dxa"/>
              <w:bottom w:w="0" w:type="dxa"/>
              <w:right w:w="45" w:type="dxa"/>
            </w:tcMar>
            <w:vAlign w:val="center"/>
            <w:hideMark/>
          </w:tcPr>
          <w:p w14:paraId="5B736336" w14:textId="77777777" w:rsidR="009A6CFA" w:rsidRDefault="009A6CFA" w:rsidP="00781F9A">
            <w:pPr>
              <w:jc w:val="center"/>
              <w:rPr>
                <w:rFonts w:ascii="Arial" w:hAnsi="Arial" w:cs="Arial"/>
                <w:b/>
                <w:bCs/>
                <w:color w:val="000000"/>
                <w:sz w:val="20"/>
                <w:szCs w:val="20"/>
              </w:rPr>
            </w:pPr>
            <w:r>
              <w:rPr>
                <w:rFonts w:ascii="Arial" w:hAnsi="Arial" w:cs="Arial"/>
                <w:b/>
                <w:bCs/>
                <w:color w:val="000000"/>
                <w:sz w:val="20"/>
                <w:szCs w:val="20"/>
              </w:rPr>
              <w:t>Frequency</w:t>
            </w:r>
          </w:p>
        </w:tc>
        <w:tc>
          <w:tcPr>
            <w:tcW w:w="1850" w:type="pct"/>
            <w:tcMar>
              <w:top w:w="0" w:type="dxa"/>
              <w:left w:w="45" w:type="dxa"/>
              <w:bottom w:w="0" w:type="dxa"/>
              <w:right w:w="45" w:type="dxa"/>
            </w:tcMar>
            <w:vAlign w:val="center"/>
            <w:hideMark/>
          </w:tcPr>
          <w:p w14:paraId="74B1F019" w14:textId="77777777" w:rsidR="009A6CFA" w:rsidRDefault="009A6CFA" w:rsidP="00781F9A">
            <w:pPr>
              <w:jc w:val="center"/>
              <w:rPr>
                <w:rFonts w:ascii="Arial" w:hAnsi="Arial" w:cs="Arial"/>
                <w:b/>
                <w:bCs/>
                <w:color w:val="000000"/>
                <w:sz w:val="20"/>
                <w:szCs w:val="20"/>
              </w:rPr>
            </w:pPr>
            <w:r>
              <w:rPr>
                <w:rFonts w:ascii="Arial" w:hAnsi="Arial" w:cs="Arial"/>
                <w:b/>
                <w:bCs/>
                <w:color w:val="000000"/>
                <w:sz w:val="20"/>
                <w:szCs w:val="20"/>
              </w:rPr>
              <w:t>Return to be submitted from the quarter ended</w:t>
            </w:r>
          </w:p>
        </w:tc>
      </w:tr>
      <w:tr w:rsidR="009A6CFA" w14:paraId="1A107D86" w14:textId="77777777" w:rsidTr="00781F9A">
        <w:trPr>
          <w:jc w:val="center"/>
        </w:trPr>
        <w:tc>
          <w:tcPr>
            <w:tcW w:w="0" w:type="auto"/>
            <w:tcMar>
              <w:top w:w="0" w:type="dxa"/>
              <w:left w:w="45" w:type="dxa"/>
              <w:bottom w:w="0" w:type="dxa"/>
              <w:right w:w="45" w:type="dxa"/>
            </w:tcMar>
            <w:vAlign w:val="center"/>
            <w:hideMark/>
          </w:tcPr>
          <w:p w14:paraId="767BA295"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D-SIBs</w:t>
            </w:r>
          </w:p>
        </w:tc>
        <w:tc>
          <w:tcPr>
            <w:tcW w:w="0" w:type="auto"/>
            <w:tcMar>
              <w:top w:w="0" w:type="dxa"/>
              <w:left w:w="45" w:type="dxa"/>
              <w:bottom w:w="0" w:type="dxa"/>
              <w:right w:w="45" w:type="dxa"/>
            </w:tcMar>
            <w:vAlign w:val="center"/>
            <w:hideMark/>
          </w:tcPr>
          <w:p w14:paraId="00192292"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Quarterly</w:t>
            </w:r>
          </w:p>
        </w:tc>
        <w:tc>
          <w:tcPr>
            <w:tcW w:w="0" w:type="auto"/>
            <w:tcMar>
              <w:top w:w="0" w:type="dxa"/>
              <w:left w:w="45" w:type="dxa"/>
              <w:bottom w:w="0" w:type="dxa"/>
              <w:right w:w="45" w:type="dxa"/>
            </w:tcMar>
            <w:vAlign w:val="center"/>
            <w:hideMark/>
          </w:tcPr>
          <w:p w14:paraId="5F4FF901"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March 2023</w:t>
            </w:r>
          </w:p>
        </w:tc>
      </w:tr>
      <w:tr w:rsidR="009A6CFA" w14:paraId="5F6A5103" w14:textId="77777777" w:rsidTr="00781F9A">
        <w:trPr>
          <w:jc w:val="center"/>
        </w:trPr>
        <w:tc>
          <w:tcPr>
            <w:tcW w:w="0" w:type="auto"/>
            <w:tcMar>
              <w:top w:w="0" w:type="dxa"/>
              <w:left w:w="45" w:type="dxa"/>
              <w:bottom w:w="0" w:type="dxa"/>
              <w:right w:w="45" w:type="dxa"/>
            </w:tcMar>
            <w:vAlign w:val="center"/>
            <w:hideMark/>
          </w:tcPr>
          <w:p w14:paraId="05AC3CD9"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Other Banks</w:t>
            </w:r>
          </w:p>
        </w:tc>
        <w:tc>
          <w:tcPr>
            <w:tcW w:w="0" w:type="auto"/>
            <w:tcMar>
              <w:top w:w="0" w:type="dxa"/>
              <w:left w:w="45" w:type="dxa"/>
              <w:bottom w:w="0" w:type="dxa"/>
              <w:right w:w="45" w:type="dxa"/>
            </w:tcMar>
            <w:vAlign w:val="center"/>
            <w:hideMark/>
          </w:tcPr>
          <w:p w14:paraId="3BA70907"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Quarterly</w:t>
            </w:r>
          </w:p>
        </w:tc>
        <w:tc>
          <w:tcPr>
            <w:tcW w:w="0" w:type="auto"/>
            <w:tcMar>
              <w:top w:w="0" w:type="dxa"/>
              <w:left w:w="45" w:type="dxa"/>
              <w:bottom w:w="0" w:type="dxa"/>
              <w:right w:w="45" w:type="dxa"/>
            </w:tcMar>
            <w:vAlign w:val="center"/>
            <w:hideMark/>
          </w:tcPr>
          <w:p w14:paraId="1212343A"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June 2023</w:t>
            </w:r>
          </w:p>
        </w:tc>
      </w:tr>
    </w:tbl>
    <w:p w14:paraId="0CB2C5EC"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4. It may be noted that the extant instructions on interest rate risk management issued vide </w:t>
      </w:r>
      <w:hyperlink r:id="rId13" w:tgtFrame="_blank" w:history="1">
        <w:r>
          <w:rPr>
            <w:rStyle w:val="Hyperlink"/>
            <w:rFonts w:ascii="Arial" w:hAnsi="Arial" w:cs="Arial"/>
            <w:sz w:val="20"/>
            <w:szCs w:val="20"/>
          </w:rPr>
          <w:t>circular DBOD.No.BP.BC.8/21.04.098/99 dated February 10, 1999</w:t>
        </w:r>
      </w:hyperlink>
      <w:r>
        <w:rPr>
          <w:rFonts w:ascii="Arial" w:hAnsi="Arial" w:cs="Arial"/>
          <w:color w:val="000000"/>
          <w:sz w:val="20"/>
          <w:szCs w:val="20"/>
        </w:rPr>
        <w:t> on ‘Asset Liability Management (ALM) system’ which require banks to undertake Traditional Gap Analysis and </w:t>
      </w:r>
      <w:hyperlink r:id="rId14" w:tgtFrame="_blank" w:history="1">
        <w:r>
          <w:rPr>
            <w:rStyle w:val="Hyperlink"/>
            <w:rFonts w:ascii="Arial" w:hAnsi="Arial" w:cs="Arial"/>
            <w:sz w:val="20"/>
            <w:szCs w:val="20"/>
          </w:rPr>
          <w:t>circular DBOD.No.BP.BC.59/21.04.098/2010-11 dated November 04, 2010</w:t>
        </w:r>
      </w:hyperlink>
      <w:r>
        <w:rPr>
          <w:rFonts w:ascii="Arial" w:hAnsi="Arial" w:cs="Arial"/>
          <w:color w:val="000000"/>
          <w:sz w:val="20"/>
          <w:szCs w:val="20"/>
        </w:rPr>
        <w:t> on ‘Guidelines on Banks’ Asset Liability Management Framework - Interest Rate Risk’ which require banks to undertake Duration Gap Analysis, shall be phased out post implementation of these guidelines, the details of which shall be advised in due course.</w:t>
      </w:r>
    </w:p>
    <w:p w14:paraId="415F9C71"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Applicability</w:t>
      </w:r>
    </w:p>
    <w:p w14:paraId="0C016D40"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5. This circular is applicable to all commercial banks (other than Regional Rural Banks, Small Finance Banks, Payments Banks and Local Area Banks).</w:t>
      </w:r>
    </w:p>
    <w:p w14:paraId="2DC8EDB1" w14:textId="77777777" w:rsidR="009A6CFA" w:rsidRPr="00A76C85" w:rsidRDefault="009A6CFA" w:rsidP="009A6CFA">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1053770C" w14:textId="77777777" w:rsidR="009A6CFA" w:rsidRDefault="009A6CFA" w:rsidP="009A6CFA">
      <w:r>
        <w:t>More details can be referred to in the below link.</w:t>
      </w:r>
    </w:p>
    <w:p w14:paraId="0FCF04BC" w14:textId="6D0AAF5E" w:rsidR="009A6CFA" w:rsidRDefault="009A6CFA" w:rsidP="009A6CFA">
      <w:pPr>
        <w:rPr>
          <w:rStyle w:val="Hyperlink"/>
          <w:rFonts w:ascii="Arial" w:hAnsi="Arial" w:cs="Arial"/>
          <w:bCs/>
          <w:sz w:val="20"/>
          <w:szCs w:val="20"/>
        </w:rPr>
      </w:pPr>
      <w:r>
        <w:rPr>
          <w:rFonts w:ascii="Arial" w:hAnsi="Arial" w:cs="Arial"/>
          <w:bCs/>
          <w:color w:val="000000"/>
          <w:sz w:val="20"/>
          <w:szCs w:val="20"/>
        </w:rPr>
        <w:t xml:space="preserve">Reference Link: </w:t>
      </w:r>
      <w:hyperlink r:id="rId15" w:history="1">
        <w:r w:rsidRPr="005F425E">
          <w:rPr>
            <w:rStyle w:val="Hyperlink"/>
            <w:rFonts w:ascii="Arial" w:hAnsi="Arial" w:cs="Arial"/>
            <w:bCs/>
            <w:sz w:val="20"/>
            <w:szCs w:val="20"/>
          </w:rPr>
          <w:t>https://rbi.org.in/Scripts/NotificationUser.aspx?Id=12456&amp;Mode=0</w:t>
        </w:r>
      </w:hyperlink>
      <w:bookmarkEnd w:id="6"/>
    </w:p>
    <w:p w14:paraId="7C98F44B" w14:textId="77777777" w:rsidR="009A6CFA" w:rsidRDefault="009A6CFA" w:rsidP="009A6CFA">
      <w:pPr>
        <w:pStyle w:val="NormalWeb"/>
        <w:rPr>
          <w:rFonts w:ascii="Arial" w:hAnsi="Arial" w:cs="Arial"/>
          <w:b/>
          <w:bCs/>
          <w:color w:val="000000"/>
          <w:sz w:val="20"/>
          <w:szCs w:val="20"/>
        </w:rPr>
      </w:pPr>
      <w:bookmarkStart w:id="7" w:name="OLE_LINK25"/>
      <w:bookmarkStart w:id="8" w:name="_Hlk141828495"/>
      <w:r>
        <w:rPr>
          <w:rFonts w:ascii="Arial" w:hAnsi="Arial" w:cs="Arial"/>
          <w:b/>
          <w:bCs/>
          <w:color w:val="000000"/>
          <w:sz w:val="20"/>
          <w:szCs w:val="20"/>
        </w:rPr>
        <w:lastRenderedPageBreak/>
        <w:t>Reserve Bank of India (Financial Statements - Presentation and Disclosures) Directions, 2021 – Disclosures for State Co-operative Banks and Central Co-operative Banks</w:t>
      </w:r>
    </w:p>
    <w:bookmarkEnd w:id="7"/>
    <w:p w14:paraId="12E0E127"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RBI/2022-23/181</w:t>
      </w:r>
      <w:r>
        <w:rPr>
          <w:rFonts w:ascii="Arial" w:hAnsi="Arial" w:cs="Arial"/>
          <w:color w:val="000000"/>
          <w:sz w:val="20"/>
          <w:szCs w:val="20"/>
        </w:rPr>
        <w:br/>
        <w:t>DOR.ACC.REC.No.103/21.04.018/2022-23</w:t>
      </w:r>
    </w:p>
    <w:p w14:paraId="582A4B0A"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February 20, 2023</w:t>
      </w:r>
    </w:p>
    <w:p w14:paraId="698DAF79"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Madam / Dear Sir,</w:t>
      </w:r>
    </w:p>
    <w:p w14:paraId="7B91A3EC"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Disclosures for State Co-operative Banks and Central Co-operative Banks</w:t>
      </w:r>
    </w:p>
    <w:p w14:paraId="1D4A9550"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The </w:t>
      </w:r>
      <w:hyperlink r:id="rId16"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(‘Master Direction’) are applicable to Commercial Banks and Primary Urban Co-operative Banks (UCBs). They harmonize the regulatory instructions on presentation and disclosure in financial statements across the banking sector.</w:t>
      </w:r>
    </w:p>
    <w:p w14:paraId="514EEC36"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2. In consultation with the National Bank for Agriculture and Rural Development (NABARD), it has now been decided to make this Master Direction also applicable to State Cooperative Banks and Central Cooperative Banks (also referred to as ‘District Central Co-operative Banks’).</w:t>
      </w:r>
    </w:p>
    <w:p w14:paraId="5BC8BEC3"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3. The Master Direction shall apply to State and Central Cooperative Banks (together referred to as ‘Rural Co-operative Banks’ or ‘RCBs’) mutatis mutandis, unless explicitly specified otherwise, from the financial year ending March 31, 2023. Certain disclosure requirements specified in Annex III-A shall be applicable, to RCBs, from the financial year ending March 31, 2024.</w:t>
      </w:r>
    </w:p>
    <w:p w14:paraId="3F4B354D"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4. The </w:t>
      </w:r>
      <w:hyperlink r:id="rId17" w:tgtFrame="_blank" w:history="1">
        <w:r>
          <w:rPr>
            <w:rStyle w:val="Hyperlink"/>
            <w:rFonts w:ascii="Arial" w:hAnsi="Arial" w:cs="Arial"/>
            <w:sz w:val="20"/>
            <w:szCs w:val="20"/>
          </w:rPr>
          <w:t>Reserve Bank of India (Financial Statements - Presentation and Disclosures) Directions, 2021</w:t>
        </w:r>
      </w:hyperlink>
      <w:r>
        <w:rPr>
          <w:rFonts w:ascii="Arial" w:hAnsi="Arial" w:cs="Arial"/>
          <w:color w:val="000000"/>
          <w:sz w:val="20"/>
          <w:szCs w:val="20"/>
        </w:rPr>
        <w:t> stands updated to reflect these changes.</w:t>
      </w:r>
    </w:p>
    <w:p w14:paraId="4348AB7B"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Yours faithfully,</w:t>
      </w:r>
    </w:p>
    <w:p w14:paraId="55E765B9"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29365475" w14:textId="77777777" w:rsidR="009A6CFA" w:rsidRDefault="009A6CFA" w:rsidP="009A6CFA">
      <w:pPr>
        <w:pStyle w:val="NormalWeb"/>
        <w:rPr>
          <w:b/>
        </w:rPr>
      </w:pPr>
    </w:p>
    <w:p w14:paraId="2452D5B6" w14:textId="77777777" w:rsidR="009A6CFA" w:rsidRDefault="009A6CFA" w:rsidP="009A6CFA">
      <w:r>
        <w:t>More details can be referred to in the below link.</w:t>
      </w:r>
    </w:p>
    <w:p w14:paraId="18DD6C5B" w14:textId="77777777" w:rsidR="009A6CFA" w:rsidRDefault="009A6CFA" w:rsidP="009A6CF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8" w:history="1">
        <w:r w:rsidRPr="005F425E">
          <w:rPr>
            <w:rStyle w:val="Hyperlink"/>
            <w:rFonts w:ascii="Arial" w:hAnsi="Arial" w:cs="Arial"/>
            <w:bCs/>
            <w:sz w:val="20"/>
            <w:szCs w:val="20"/>
          </w:rPr>
          <w:t>https://rbi.org.in/Scripts/NotificationUser.aspx?Id=12457&amp;Mode=0</w:t>
        </w:r>
      </w:hyperlink>
    </w:p>
    <w:p w14:paraId="01928C3F" w14:textId="77777777" w:rsidR="009A6CFA" w:rsidRDefault="009A6CFA" w:rsidP="009A6CFA">
      <w:pPr>
        <w:pStyle w:val="NormalWeb"/>
        <w:rPr>
          <w:rFonts w:ascii="Arial" w:hAnsi="Arial" w:cs="Arial"/>
          <w:bCs/>
          <w:color w:val="000000"/>
          <w:sz w:val="20"/>
          <w:szCs w:val="20"/>
        </w:rPr>
      </w:pPr>
    </w:p>
    <w:p w14:paraId="6E1AEE4D" w14:textId="77777777" w:rsidR="009A6CFA" w:rsidRDefault="009A6CFA" w:rsidP="009A6CFA">
      <w:pPr>
        <w:pStyle w:val="NormalWeb"/>
        <w:rPr>
          <w:rFonts w:ascii="Arial" w:hAnsi="Arial" w:cs="Arial"/>
          <w:bCs/>
          <w:color w:val="000000"/>
          <w:sz w:val="20"/>
          <w:szCs w:val="20"/>
        </w:rPr>
      </w:pPr>
    </w:p>
    <w:p w14:paraId="1A3500A1" w14:textId="77777777" w:rsidR="009A6CFA" w:rsidRDefault="009A6CFA" w:rsidP="009A6CFA">
      <w:pPr>
        <w:pStyle w:val="NormalWeb"/>
        <w:rPr>
          <w:rFonts w:ascii="Arial" w:hAnsi="Arial" w:cs="Arial"/>
          <w:bCs/>
          <w:color w:val="000000"/>
          <w:sz w:val="20"/>
          <w:szCs w:val="20"/>
        </w:rPr>
      </w:pPr>
    </w:p>
    <w:p w14:paraId="7E65DADB" w14:textId="77777777" w:rsidR="009A6CFA" w:rsidRDefault="009A6CFA" w:rsidP="009A6CFA">
      <w:pPr>
        <w:pStyle w:val="NormalWeb"/>
        <w:rPr>
          <w:rFonts w:ascii="Arial" w:hAnsi="Arial" w:cs="Arial"/>
          <w:bCs/>
          <w:color w:val="000000"/>
          <w:sz w:val="20"/>
          <w:szCs w:val="20"/>
        </w:rPr>
      </w:pPr>
    </w:p>
    <w:p w14:paraId="2489F082" w14:textId="77777777" w:rsidR="009A6CFA" w:rsidRDefault="009A6CFA" w:rsidP="009A6CFA">
      <w:pPr>
        <w:pStyle w:val="NormalWeb"/>
        <w:rPr>
          <w:rFonts w:ascii="Arial" w:hAnsi="Arial" w:cs="Arial"/>
          <w:bCs/>
          <w:color w:val="000000"/>
          <w:sz w:val="20"/>
          <w:szCs w:val="20"/>
        </w:rPr>
      </w:pPr>
    </w:p>
    <w:p w14:paraId="5ADC62E6" w14:textId="77777777" w:rsidR="009A6CFA" w:rsidRDefault="009A6CFA" w:rsidP="009A6CFA">
      <w:pPr>
        <w:pStyle w:val="NormalWeb"/>
        <w:rPr>
          <w:rFonts w:ascii="Arial" w:hAnsi="Arial" w:cs="Arial"/>
          <w:bCs/>
          <w:color w:val="000000"/>
          <w:sz w:val="20"/>
          <w:szCs w:val="20"/>
        </w:rPr>
      </w:pPr>
    </w:p>
    <w:bookmarkEnd w:id="8"/>
    <w:p w14:paraId="591FC278" w14:textId="77777777" w:rsidR="009A6CFA" w:rsidRDefault="009A6CFA" w:rsidP="009A6CFA">
      <w:pPr>
        <w:rPr>
          <w:lang w:val="en-US"/>
        </w:rPr>
      </w:pPr>
    </w:p>
    <w:p w14:paraId="0F385491" w14:textId="77777777" w:rsidR="009A6CFA" w:rsidRDefault="009A6CFA" w:rsidP="009A6CFA">
      <w:pPr>
        <w:pStyle w:val="NormalWeb"/>
        <w:rPr>
          <w:rFonts w:ascii="Arial" w:hAnsi="Arial" w:cs="Arial"/>
          <w:b/>
          <w:bCs/>
          <w:color w:val="000000"/>
          <w:sz w:val="20"/>
          <w:szCs w:val="20"/>
        </w:rPr>
      </w:pPr>
      <w:bookmarkStart w:id="9" w:name="OLE_LINK33"/>
      <w:bookmarkStart w:id="10" w:name="_Hlk141826267"/>
      <w:r>
        <w:rPr>
          <w:rFonts w:ascii="Arial" w:hAnsi="Arial" w:cs="Arial"/>
          <w:b/>
          <w:bCs/>
          <w:color w:val="000000"/>
          <w:sz w:val="20"/>
          <w:szCs w:val="20"/>
        </w:rPr>
        <w:lastRenderedPageBreak/>
        <w:t>Revised Regulatory Framework for Urban Co-operative Banks (UCBs) – Net Worth and Capital Adequacy</w:t>
      </w:r>
    </w:p>
    <w:bookmarkEnd w:id="9"/>
    <w:p w14:paraId="7F10EB68"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RBI/2022-23/189</w:t>
      </w:r>
      <w:r>
        <w:rPr>
          <w:rFonts w:ascii="Arial" w:hAnsi="Arial" w:cs="Arial"/>
          <w:color w:val="000000"/>
          <w:sz w:val="20"/>
          <w:szCs w:val="20"/>
        </w:rPr>
        <w:br/>
        <w:t>DOR.CAP.REC. No.109/09.18.201/2022-23</w:t>
      </w:r>
    </w:p>
    <w:p w14:paraId="4723DF7B"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March 28, 2023</w:t>
      </w:r>
    </w:p>
    <w:p w14:paraId="46413E56"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Dear Sir/ Madam,</w:t>
      </w:r>
    </w:p>
    <w:p w14:paraId="50013C1D"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Revised Regulatory Framework for Urban Co-operative Banks (UCBs) – Net Worth and Capital Adequacy</w:t>
      </w:r>
    </w:p>
    <w:p w14:paraId="5A6BFA54"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Please refer to para 7 of the </w:t>
      </w:r>
      <w:hyperlink r:id="rId19" w:tgtFrame="_blank" w:history="1">
        <w:r>
          <w:rPr>
            <w:rStyle w:val="Hyperlink"/>
            <w:rFonts w:ascii="Arial" w:hAnsi="Arial" w:cs="Arial"/>
            <w:sz w:val="20"/>
            <w:szCs w:val="20"/>
          </w:rPr>
          <w:t>circular DOR.CAP.REC.No.86/09.18.201/2022-23 dated December 01, 2022</w:t>
        </w:r>
      </w:hyperlink>
      <w:r>
        <w:rPr>
          <w:rFonts w:ascii="Arial" w:hAnsi="Arial" w:cs="Arial"/>
          <w:color w:val="000000"/>
          <w:sz w:val="20"/>
          <w:szCs w:val="20"/>
        </w:rPr>
        <w:t> on ‘Revised Regulatory Framework for Urban Co-operative Banks (UCBs) – Net Worth and Capital Adequacy.</w:t>
      </w:r>
    </w:p>
    <w:p w14:paraId="7B6F4187"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2. It has been decided that the instructions shall come into effect from March 31, 2023.</w:t>
      </w:r>
    </w:p>
    <w:p w14:paraId="7631D026"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3. All other instructions of the circular ibid remain unchanged.</w:t>
      </w:r>
    </w:p>
    <w:p w14:paraId="700B4899"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Yours faithfully,</w:t>
      </w:r>
    </w:p>
    <w:p w14:paraId="7BED0D17"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(R. Lakshmi Kanth Rao)</w:t>
      </w:r>
      <w:r>
        <w:rPr>
          <w:rFonts w:ascii="Arial" w:hAnsi="Arial" w:cs="Arial"/>
          <w:color w:val="000000"/>
          <w:sz w:val="20"/>
          <w:szCs w:val="20"/>
        </w:rPr>
        <w:br/>
        <w:t>Chief General Manager-in-Charge</w:t>
      </w:r>
    </w:p>
    <w:p w14:paraId="501C20C4" w14:textId="77777777" w:rsidR="009A6CFA" w:rsidRDefault="009A6CFA" w:rsidP="009A6CFA">
      <w:pPr>
        <w:pStyle w:val="NormalWeb"/>
        <w:rPr>
          <w:rFonts w:ascii="Arial" w:hAnsi="Arial" w:cs="Arial"/>
          <w:bCs/>
          <w:color w:val="000000"/>
          <w:sz w:val="20"/>
          <w:szCs w:val="20"/>
        </w:rPr>
      </w:pPr>
    </w:p>
    <w:p w14:paraId="6221F151" w14:textId="77777777" w:rsidR="009A6CFA" w:rsidRDefault="009A6CFA" w:rsidP="009A6CFA">
      <w:r>
        <w:t>More details can be referred to in the below link.</w:t>
      </w:r>
    </w:p>
    <w:p w14:paraId="4B33A2C4" w14:textId="77777777" w:rsidR="009A6CFA" w:rsidRDefault="009A6CFA" w:rsidP="009A6CF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0" w:history="1">
        <w:r w:rsidRPr="005F425E">
          <w:rPr>
            <w:rStyle w:val="Hyperlink"/>
            <w:rFonts w:ascii="Arial" w:hAnsi="Arial" w:cs="Arial"/>
            <w:bCs/>
            <w:sz w:val="20"/>
            <w:szCs w:val="20"/>
          </w:rPr>
          <w:t>https://rbi.org.in/Scripts/NotificationUser.aspx?Id=12465&amp;Mode=0</w:t>
        </w:r>
      </w:hyperlink>
    </w:p>
    <w:p w14:paraId="16F81A17" w14:textId="77777777" w:rsidR="009A6CFA" w:rsidRDefault="009A6CFA" w:rsidP="009A6CFA">
      <w:pPr>
        <w:pStyle w:val="NormalWeb"/>
        <w:rPr>
          <w:rFonts w:ascii="Arial" w:hAnsi="Arial" w:cs="Arial"/>
          <w:bCs/>
          <w:color w:val="000000"/>
          <w:sz w:val="20"/>
          <w:szCs w:val="20"/>
        </w:rPr>
      </w:pPr>
    </w:p>
    <w:p w14:paraId="470D9283" w14:textId="77777777" w:rsidR="009A6CFA" w:rsidRDefault="009A6CFA" w:rsidP="009A6CFA">
      <w:pPr>
        <w:pStyle w:val="NormalWeb"/>
        <w:rPr>
          <w:rFonts w:ascii="Arial" w:hAnsi="Arial" w:cs="Arial"/>
          <w:bCs/>
          <w:color w:val="000000"/>
          <w:sz w:val="20"/>
          <w:szCs w:val="20"/>
        </w:rPr>
      </w:pPr>
    </w:p>
    <w:p w14:paraId="6EBA813B" w14:textId="77777777" w:rsidR="009A6CFA" w:rsidRDefault="009A6CFA" w:rsidP="009A6CFA">
      <w:pPr>
        <w:pStyle w:val="NormalWeb"/>
        <w:rPr>
          <w:rFonts w:ascii="Arial" w:hAnsi="Arial" w:cs="Arial"/>
          <w:bCs/>
          <w:color w:val="000000"/>
          <w:sz w:val="20"/>
          <w:szCs w:val="20"/>
        </w:rPr>
      </w:pPr>
    </w:p>
    <w:p w14:paraId="03FCA5E1" w14:textId="77777777" w:rsidR="009A6CFA" w:rsidRDefault="009A6CFA" w:rsidP="009A6CFA">
      <w:pPr>
        <w:pStyle w:val="NormalWeb"/>
        <w:rPr>
          <w:rFonts w:ascii="Arial" w:hAnsi="Arial" w:cs="Arial"/>
          <w:bCs/>
          <w:color w:val="000000"/>
          <w:sz w:val="20"/>
          <w:szCs w:val="20"/>
        </w:rPr>
      </w:pPr>
    </w:p>
    <w:p w14:paraId="0E745C84" w14:textId="77777777" w:rsidR="009A6CFA" w:rsidRDefault="009A6CFA" w:rsidP="009A6CFA">
      <w:pPr>
        <w:pStyle w:val="NormalWeb"/>
        <w:rPr>
          <w:rFonts w:ascii="Arial" w:hAnsi="Arial" w:cs="Arial"/>
          <w:bCs/>
          <w:color w:val="000000"/>
          <w:sz w:val="20"/>
          <w:szCs w:val="20"/>
        </w:rPr>
      </w:pPr>
    </w:p>
    <w:p w14:paraId="210DFB23" w14:textId="77777777" w:rsidR="009A6CFA" w:rsidRDefault="009A6CFA" w:rsidP="009A6CFA">
      <w:pPr>
        <w:pStyle w:val="NormalWeb"/>
        <w:rPr>
          <w:rFonts w:ascii="Arial" w:hAnsi="Arial" w:cs="Arial"/>
          <w:bCs/>
          <w:color w:val="000000"/>
          <w:sz w:val="20"/>
          <w:szCs w:val="20"/>
        </w:rPr>
      </w:pPr>
    </w:p>
    <w:p w14:paraId="3068369F" w14:textId="77777777" w:rsidR="009A6CFA" w:rsidRDefault="009A6CFA" w:rsidP="009A6CFA">
      <w:pPr>
        <w:pStyle w:val="NormalWeb"/>
        <w:rPr>
          <w:rFonts w:ascii="Arial" w:hAnsi="Arial" w:cs="Arial"/>
          <w:bCs/>
          <w:color w:val="000000"/>
          <w:sz w:val="20"/>
          <w:szCs w:val="20"/>
        </w:rPr>
      </w:pPr>
    </w:p>
    <w:p w14:paraId="2904417D" w14:textId="77777777" w:rsidR="009A6CFA" w:rsidRDefault="009A6CFA" w:rsidP="009A6CFA">
      <w:pPr>
        <w:pStyle w:val="NormalWeb"/>
        <w:rPr>
          <w:rFonts w:ascii="Arial" w:hAnsi="Arial" w:cs="Arial"/>
          <w:bCs/>
          <w:color w:val="000000"/>
          <w:sz w:val="20"/>
          <w:szCs w:val="20"/>
        </w:rPr>
      </w:pPr>
    </w:p>
    <w:p w14:paraId="23511614" w14:textId="77777777" w:rsidR="009A6CFA" w:rsidRDefault="009A6CFA" w:rsidP="009A6CFA">
      <w:pPr>
        <w:pStyle w:val="NormalWeb"/>
        <w:rPr>
          <w:rFonts w:ascii="Arial" w:hAnsi="Arial" w:cs="Arial"/>
          <w:bCs/>
          <w:color w:val="000000"/>
          <w:sz w:val="20"/>
          <w:szCs w:val="20"/>
        </w:rPr>
      </w:pPr>
    </w:p>
    <w:p w14:paraId="78C8C38C" w14:textId="77777777" w:rsidR="009A6CFA" w:rsidRDefault="009A6CFA" w:rsidP="009A6CFA">
      <w:pPr>
        <w:pStyle w:val="NormalWeb"/>
        <w:rPr>
          <w:rFonts w:ascii="Arial" w:hAnsi="Arial" w:cs="Arial"/>
          <w:bCs/>
          <w:color w:val="000000"/>
          <w:sz w:val="20"/>
          <w:szCs w:val="20"/>
        </w:rPr>
      </w:pPr>
    </w:p>
    <w:p w14:paraId="4902BA3C" w14:textId="77777777" w:rsidR="009A6CFA" w:rsidRDefault="009A6CFA" w:rsidP="009A6CFA">
      <w:pPr>
        <w:pStyle w:val="NormalWeb"/>
        <w:rPr>
          <w:rFonts w:ascii="Arial" w:hAnsi="Arial" w:cs="Arial"/>
          <w:bCs/>
          <w:color w:val="000000"/>
          <w:sz w:val="20"/>
          <w:szCs w:val="20"/>
        </w:rPr>
      </w:pPr>
    </w:p>
    <w:bookmarkEnd w:id="10"/>
    <w:p w14:paraId="01033267" w14:textId="77777777" w:rsidR="009A6CFA" w:rsidRDefault="009A6CFA" w:rsidP="009A6CFA">
      <w:pPr>
        <w:rPr>
          <w:lang w:val="en-US"/>
        </w:rPr>
      </w:pPr>
    </w:p>
    <w:p w14:paraId="2353EA1E" w14:textId="77777777" w:rsidR="009A6CFA" w:rsidRDefault="009A6CFA" w:rsidP="009A6CFA">
      <w:pPr>
        <w:pStyle w:val="NormalWeb"/>
        <w:rPr>
          <w:rFonts w:ascii="Arial" w:hAnsi="Arial" w:cs="Arial"/>
          <w:b/>
          <w:bCs/>
          <w:color w:val="000000"/>
          <w:sz w:val="20"/>
          <w:szCs w:val="20"/>
        </w:rPr>
      </w:pPr>
      <w:bookmarkStart w:id="11" w:name="OLE_LINK35"/>
      <w:bookmarkStart w:id="12" w:name="_Hlk141824934"/>
      <w:r>
        <w:rPr>
          <w:rFonts w:ascii="Arial" w:hAnsi="Arial" w:cs="Arial"/>
          <w:b/>
          <w:bCs/>
          <w:color w:val="000000"/>
          <w:sz w:val="20"/>
          <w:szCs w:val="20"/>
        </w:rPr>
        <w:lastRenderedPageBreak/>
        <w:t>Master Circular on Credit Facilities to Minority Communities</w:t>
      </w:r>
    </w:p>
    <w:bookmarkEnd w:id="11"/>
    <w:p w14:paraId="65494D2C"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RBI/2023-24/02</w:t>
      </w:r>
      <w:r>
        <w:rPr>
          <w:rFonts w:ascii="Arial" w:hAnsi="Arial" w:cs="Arial"/>
          <w:color w:val="000000"/>
          <w:sz w:val="20"/>
          <w:szCs w:val="20"/>
        </w:rPr>
        <w:br/>
        <w:t>FIDD.GSSD.BC.No.02/09.10.001/2023-24</w:t>
      </w:r>
    </w:p>
    <w:p w14:paraId="48228DBD"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April 01, 2023</w:t>
      </w:r>
    </w:p>
    <w:p w14:paraId="70A4760E"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(excluding RRBs and Foreign Banks with less than 20 branches)</w:t>
      </w:r>
    </w:p>
    <w:p w14:paraId="7051F497"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Madam/ Dear Sir,</w:t>
      </w:r>
    </w:p>
    <w:p w14:paraId="1321284A"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Master Circular on Credit Facilities to Minority Communities</w:t>
      </w:r>
    </w:p>
    <w:p w14:paraId="7A1353DB"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The Reserve Bank of India has periodically issued guidelines/instructions/directives to banks with regard to providing credit facilities to Minority Communities. The </w:t>
      </w:r>
      <w:hyperlink r:id="rId21" w:anchor="MC" w:history="1">
        <w:r>
          <w:rPr>
            <w:rStyle w:val="Hyperlink"/>
            <w:rFonts w:ascii="Arial" w:hAnsi="Arial" w:cs="Arial"/>
            <w:sz w:val="20"/>
            <w:szCs w:val="20"/>
          </w:rPr>
          <w:t>Master Circular</w:t>
        </w:r>
      </w:hyperlink>
      <w:r>
        <w:rPr>
          <w:rFonts w:ascii="Arial" w:hAnsi="Arial" w:cs="Arial"/>
          <w:color w:val="000000"/>
          <w:sz w:val="20"/>
          <w:szCs w:val="20"/>
        </w:rPr>
        <w:t> enclosed consolidates the circulars issued by Reserve Bank on the subject till date, as listed in the </w:t>
      </w:r>
      <w:hyperlink r:id="rId22" w:anchor="APP" w:history="1">
        <w:r>
          <w:rPr>
            <w:rStyle w:val="Hyperlink"/>
            <w:rFonts w:ascii="Arial" w:hAnsi="Arial" w:cs="Arial"/>
            <w:sz w:val="20"/>
            <w:szCs w:val="20"/>
          </w:rPr>
          <w:t>Appendix</w:t>
        </w:r>
      </w:hyperlink>
      <w:r>
        <w:rPr>
          <w:rFonts w:ascii="Arial" w:hAnsi="Arial" w:cs="Arial"/>
          <w:color w:val="000000"/>
          <w:sz w:val="20"/>
          <w:szCs w:val="20"/>
        </w:rPr>
        <w:t>.</w:t>
      </w:r>
    </w:p>
    <w:p w14:paraId="5284E282"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Yours faithfully,</w:t>
      </w:r>
    </w:p>
    <w:p w14:paraId="4EF26912"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44B5BB32" w14:textId="77777777" w:rsidR="009A6CFA" w:rsidRDefault="009A6CFA" w:rsidP="009A6CFA">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0ADB36F9" w14:textId="77777777" w:rsidR="009A6CFA" w:rsidRDefault="009A6CFA" w:rsidP="009A6CFA">
      <w:pPr>
        <w:pStyle w:val="NormalWeb"/>
        <w:rPr>
          <w:rFonts w:ascii="Arial" w:hAnsi="Arial" w:cs="Arial"/>
          <w:bCs/>
          <w:color w:val="000000"/>
          <w:sz w:val="20"/>
          <w:szCs w:val="20"/>
        </w:rPr>
      </w:pPr>
    </w:p>
    <w:p w14:paraId="16D89EB7" w14:textId="77777777" w:rsidR="009A6CFA" w:rsidRDefault="009A6CFA" w:rsidP="009A6CFA">
      <w:r>
        <w:t>More details can be referred to in the below link.</w:t>
      </w:r>
    </w:p>
    <w:p w14:paraId="0F4D850F" w14:textId="77777777" w:rsidR="009A6CFA" w:rsidRDefault="009A6CFA" w:rsidP="009A6CF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3" w:history="1">
        <w:r w:rsidRPr="005F425E">
          <w:rPr>
            <w:rStyle w:val="Hyperlink"/>
            <w:rFonts w:ascii="Arial" w:hAnsi="Arial" w:cs="Arial"/>
            <w:bCs/>
            <w:sz w:val="20"/>
            <w:szCs w:val="20"/>
          </w:rPr>
          <w:t>https://rbi.org.in/Scripts/NotificationUser.aspx?Id=12467&amp;Mode=0</w:t>
        </w:r>
      </w:hyperlink>
    </w:p>
    <w:p w14:paraId="2BF65B3B" w14:textId="77777777" w:rsidR="009A6CFA" w:rsidRDefault="009A6CFA" w:rsidP="009A6CFA">
      <w:pPr>
        <w:pStyle w:val="NormalWeb"/>
        <w:rPr>
          <w:rFonts w:ascii="Arial" w:hAnsi="Arial" w:cs="Arial"/>
          <w:bCs/>
          <w:color w:val="000000"/>
          <w:sz w:val="20"/>
          <w:szCs w:val="20"/>
        </w:rPr>
      </w:pPr>
    </w:p>
    <w:p w14:paraId="2516A48D" w14:textId="77777777" w:rsidR="009A6CFA" w:rsidRDefault="009A6CFA" w:rsidP="009A6CFA">
      <w:pPr>
        <w:pStyle w:val="NormalWeb"/>
        <w:rPr>
          <w:rFonts w:ascii="Arial" w:hAnsi="Arial" w:cs="Arial"/>
          <w:bCs/>
          <w:color w:val="000000"/>
          <w:sz w:val="20"/>
          <w:szCs w:val="20"/>
        </w:rPr>
      </w:pPr>
    </w:p>
    <w:p w14:paraId="70B37EF3" w14:textId="77777777" w:rsidR="009A6CFA" w:rsidRDefault="009A6CFA" w:rsidP="009A6CFA">
      <w:pPr>
        <w:pStyle w:val="NormalWeb"/>
        <w:rPr>
          <w:rFonts w:ascii="Arial" w:hAnsi="Arial" w:cs="Arial"/>
          <w:bCs/>
          <w:color w:val="000000"/>
          <w:sz w:val="20"/>
          <w:szCs w:val="20"/>
        </w:rPr>
      </w:pPr>
    </w:p>
    <w:p w14:paraId="311A264A" w14:textId="77777777" w:rsidR="009A6CFA" w:rsidRDefault="009A6CFA" w:rsidP="009A6CFA">
      <w:pPr>
        <w:pStyle w:val="NormalWeb"/>
        <w:rPr>
          <w:rFonts w:ascii="Arial" w:hAnsi="Arial" w:cs="Arial"/>
          <w:bCs/>
          <w:color w:val="000000"/>
          <w:sz w:val="20"/>
          <w:szCs w:val="20"/>
        </w:rPr>
      </w:pPr>
    </w:p>
    <w:p w14:paraId="533BC205" w14:textId="77777777" w:rsidR="009A6CFA" w:rsidRDefault="009A6CFA" w:rsidP="009A6CFA">
      <w:pPr>
        <w:pStyle w:val="NormalWeb"/>
        <w:rPr>
          <w:rFonts w:ascii="Arial" w:hAnsi="Arial" w:cs="Arial"/>
          <w:bCs/>
          <w:color w:val="000000"/>
          <w:sz w:val="20"/>
          <w:szCs w:val="20"/>
        </w:rPr>
      </w:pPr>
    </w:p>
    <w:p w14:paraId="368F0B30" w14:textId="77777777" w:rsidR="009A6CFA" w:rsidRDefault="009A6CFA" w:rsidP="009A6CFA">
      <w:pPr>
        <w:pStyle w:val="NormalWeb"/>
        <w:rPr>
          <w:rFonts w:ascii="Arial" w:hAnsi="Arial" w:cs="Arial"/>
          <w:bCs/>
          <w:color w:val="000000"/>
          <w:sz w:val="20"/>
          <w:szCs w:val="20"/>
        </w:rPr>
      </w:pPr>
    </w:p>
    <w:p w14:paraId="28AD1452" w14:textId="77777777" w:rsidR="009A6CFA" w:rsidRDefault="009A6CFA" w:rsidP="009A6CFA">
      <w:pPr>
        <w:pStyle w:val="NormalWeb"/>
        <w:rPr>
          <w:rFonts w:ascii="Arial" w:hAnsi="Arial" w:cs="Arial"/>
          <w:bCs/>
          <w:color w:val="000000"/>
          <w:sz w:val="20"/>
          <w:szCs w:val="20"/>
        </w:rPr>
      </w:pPr>
    </w:p>
    <w:p w14:paraId="12F14623" w14:textId="77777777" w:rsidR="009A6CFA" w:rsidRDefault="009A6CFA" w:rsidP="009A6CFA">
      <w:pPr>
        <w:pStyle w:val="NormalWeb"/>
        <w:rPr>
          <w:rFonts w:ascii="Arial" w:hAnsi="Arial" w:cs="Arial"/>
          <w:bCs/>
          <w:color w:val="000000"/>
          <w:sz w:val="20"/>
          <w:szCs w:val="20"/>
        </w:rPr>
      </w:pPr>
    </w:p>
    <w:p w14:paraId="4D1C76F8" w14:textId="77777777" w:rsidR="009A6CFA" w:rsidRDefault="009A6CFA" w:rsidP="009A6CFA">
      <w:pPr>
        <w:pStyle w:val="NormalWeb"/>
        <w:rPr>
          <w:rFonts w:ascii="Arial" w:hAnsi="Arial" w:cs="Arial"/>
          <w:bCs/>
          <w:color w:val="000000"/>
          <w:sz w:val="20"/>
          <w:szCs w:val="20"/>
        </w:rPr>
      </w:pPr>
    </w:p>
    <w:p w14:paraId="580CE228" w14:textId="77777777" w:rsidR="009A6CFA" w:rsidRDefault="009A6CFA" w:rsidP="009A6CFA">
      <w:pPr>
        <w:pStyle w:val="NormalWeb"/>
        <w:rPr>
          <w:rFonts w:ascii="Arial" w:hAnsi="Arial" w:cs="Arial"/>
          <w:bCs/>
          <w:color w:val="000000"/>
          <w:sz w:val="20"/>
          <w:szCs w:val="20"/>
        </w:rPr>
      </w:pPr>
    </w:p>
    <w:p w14:paraId="014CFF1D" w14:textId="77777777" w:rsidR="009A6CFA" w:rsidRDefault="009A6CFA" w:rsidP="009A6CFA">
      <w:pPr>
        <w:pStyle w:val="NormalWeb"/>
        <w:rPr>
          <w:rFonts w:ascii="Arial" w:hAnsi="Arial" w:cs="Arial"/>
          <w:bCs/>
          <w:color w:val="000000"/>
          <w:sz w:val="20"/>
          <w:szCs w:val="20"/>
        </w:rPr>
      </w:pPr>
    </w:p>
    <w:bookmarkEnd w:id="12"/>
    <w:p w14:paraId="2791E377" w14:textId="77777777" w:rsidR="009A6CFA" w:rsidRDefault="009A6CFA" w:rsidP="009A6CFA">
      <w:pPr>
        <w:rPr>
          <w:lang w:val="en-US"/>
        </w:rPr>
      </w:pPr>
    </w:p>
    <w:p w14:paraId="545546F7" w14:textId="77777777" w:rsidR="009A6CFA" w:rsidRDefault="009A6CFA" w:rsidP="009A6CFA">
      <w:pPr>
        <w:pStyle w:val="NormalWeb"/>
        <w:rPr>
          <w:rFonts w:ascii="Arial" w:hAnsi="Arial" w:cs="Arial"/>
          <w:b/>
          <w:bCs/>
          <w:color w:val="000000"/>
          <w:sz w:val="20"/>
          <w:szCs w:val="20"/>
        </w:rPr>
      </w:pPr>
      <w:bookmarkStart w:id="13" w:name="OLE_LINK36"/>
      <w:bookmarkStart w:id="14" w:name="_Hlk141824961"/>
      <w:r>
        <w:rPr>
          <w:rFonts w:ascii="Arial" w:hAnsi="Arial" w:cs="Arial"/>
          <w:b/>
          <w:bCs/>
          <w:color w:val="000000"/>
          <w:sz w:val="20"/>
          <w:szCs w:val="20"/>
        </w:rPr>
        <w:lastRenderedPageBreak/>
        <w:t>Master Circular - Credit facilities to Scheduled Castes (SCs) &amp; Scheduled Tribes (STs)</w:t>
      </w:r>
    </w:p>
    <w:bookmarkEnd w:id="13"/>
    <w:p w14:paraId="66904666"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RBI/2023-24/01</w:t>
      </w:r>
      <w:r>
        <w:rPr>
          <w:rFonts w:ascii="Arial" w:hAnsi="Arial" w:cs="Arial"/>
          <w:color w:val="000000"/>
          <w:sz w:val="20"/>
          <w:szCs w:val="20"/>
        </w:rPr>
        <w:br/>
        <w:t>FIDD.CO.GSSD.BC.No.03/09.09.001/2023-24</w:t>
      </w:r>
    </w:p>
    <w:p w14:paraId="47E99AA2"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April 01, 2023</w:t>
      </w:r>
    </w:p>
    <w:p w14:paraId="67DE220C"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Scheduled Commercial Banks (including Small Finance Banks)</w:t>
      </w:r>
    </w:p>
    <w:p w14:paraId="4FCD2776"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Madam / Dear Sir,</w:t>
      </w:r>
    </w:p>
    <w:p w14:paraId="0C6FB270"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Master Circular - Credit facilities to Scheduled Castes (SCs) &amp; Scheduled Tribes (STs)</w:t>
      </w:r>
    </w:p>
    <w:p w14:paraId="341D1AA0"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credit facilities to Scheduled Castes (SCs) &amp; Scheduled Tribes (STs). The enclosed </w:t>
      </w:r>
      <w:hyperlink r:id="rId24" w:anchor="MC" w:history="1">
        <w:r>
          <w:rPr>
            <w:rStyle w:val="Hyperlink"/>
            <w:rFonts w:ascii="Arial" w:hAnsi="Arial" w:cs="Arial"/>
            <w:sz w:val="20"/>
            <w:szCs w:val="20"/>
          </w:rPr>
          <w:t>Master Circular</w:t>
        </w:r>
      </w:hyperlink>
      <w:r>
        <w:rPr>
          <w:rFonts w:ascii="Arial" w:hAnsi="Arial" w:cs="Arial"/>
          <w:color w:val="000000"/>
          <w:sz w:val="20"/>
          <w:szCs w:val="20"/>
        </w:rPr>
        <w:t> consolidates the circulars issued by Reserve Bank on the subject till date, as listed in the </w:t>
      </w:r>
      <w:hyperlink r:id="rId25" w:anchor="APP" w:history="1">
        <w:r>
          <w:rPr>
            <w:rStyle w:val="Hyperlink"/>
            <w:rFonts w:ascii="Arial" w:hAnsi="Arial" w:cs="Arial"/>
            <w:sz w:val="20"/>
            <w:szCs w:val="20"/>
          </w:rPr>
          <w:t>Appendix</w:t>
        </w:r>
      </w:hyperlink>
      <w:r>
        <w:rPr>
          <w:rFonts w:ascii="Arial" w:hAnsi="Arial" w:cs="Arial"/>
          <w:color w:val="000000"/>
          <w:sz w:val="20"/>
          <w:szCs w:val="20"/>
        </w:rPr>
        <w:t>.</w:t>
      </w:r>
    </w:p>
    <w:p w14:paraId="5B933ED8"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Yours faithfully,</w:t>
      </w:r>
    </w:p>
    <w:p w14:paraId="3ADED2B0"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11458B33" w14:textId="77777777" w:rsidR="009A6CFA" w:rsidRDefault="009A6CFA" w:rsidP="009A6CFA">
      <w:pPr>
        <w:pStyle w:val="NormalWeb"/>
        <w:rPr>
          <w:rFonts w:ascii="Arial" w:hAnsi="Arial" w:cs="Arial"/>
          <w:bCs/>
          <w:color w:val="000000"/>
          <w:sz w:val="20"/>
          <w:szCs w:val="20"/>
        </w:rPr>
      </w:pPr>
    </w:p>
    <w:p w14:paraId="33F9CE2A" w14:textId="77777777" w:rsidR="009A6CFA" w:rsidRDefault="009A6CFA" w:rsidP="009A6CFA">
      <w:r>
        <w:t>More details can be referred to in the below link.</w:t>
      </w:r>
    </w:p>
    <w:p w14:paraId="1166E24C" w14:textId="77777777" w:rsidR="009A6CFA" w:rsidRDefault="009A6CFA" w:rsidP="009A6CF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6" w:history="1">
        <w:r w:rsidRPr="005F425E">
          <w:rPr>
            <w:rStyle w:val="Hyperlink"/>
            <w:rFonts w:ascii="Arial" w:hAnsi="Arial" w:cs="Arial"/>
            <w:bCs/>
            <w:sz w:val="20"/>
            <w:szCs w:val="20"/>
          </w:rPr>
          <w:t>https://rbi.org.in/Scripts/NotificationUser.aspx?Id=12468&amp;Mode=0</w:t>
        </w:r>
      </w:hyperlink>
    </w:p>
    <w:p w14:paraId="33044A90" w14:textId="77777777" w:rsidR="009A6CFA" w:rsidRDefault="009A6CFA" w:rsidP="009A6CFA">
      <w:pPr>
        <w:pStyle w:val="NormalWeb"/>
        <w:rPr>
          <w:rFonts w:ascii="Arial" w:hAnsi="Arial" w:cs="Arial"/>
          <w:bCs/>
          <w:color w:val="000000"/>
          <w:sz w:val="20"/>
          <w:szCs w:val="20"/>
        </w:rPr>
      </w:pPr>
    </w:p>
    <w:p w14:paraId="46AD3EB1" w14:textId="77777777" w:rsidR="009A6CFA" w:rsidRDefault="009A6CFA" w:rsidP="009A6CFA">
      <w:pPr>
        <w:pStyle w:val="NormalWeb"/>
        <w:rPr>
          <w:rFonts w:ascii="Arial" w:hAnsi="Arial" w:cs="Arial"/>
          <w:bCs/>
          <w:color w:val="000000"/>
          <w:sz w:val="20"/>
          <w:szCs w:val="20"/>
        </w:rPr>
      </w:pPr>
    </w:p>
    <w:p w14:paraId="7F4AF7F8" w14:textId="77777777" w:rsidR="009A6CFA" w:rsidRDefault="009A6CFA" w:rsidP="009A6CFA">
      <w:pPr>
        <w:pStyle w:val="NormalWeb"/>
        <w:rPr>
          <w:rFonts w:ascii="Arial" w:hAnsi="Arial" w:cs="Arial"/>
          <w:bCs/>
          <w:color w:val="000000"/>
          <w:sz w:val="20"/>
          <w:szCs w:val="20"/>
        </w:rPr>
      </w:pPr>
    </w:p>
    <w:p w14:paraId="7A17E5F8" w14:textId="77777777" w:rsidR="009A6CFA" w:rsidRDefault="009A6CFA" w:rsidP="009A6CFA">
      <w:pPr>
        <w:pStyle w:val="NormalWeb"/>
        <w:rPr>
          <w:rFonts w:ascii="Arial" w:hAnsi="Arial" w:cs="Arial"/>
          <w:bCs/>
          <w:color w:val="000000"/>
          <w:sz w:val="20"/>
          <w:szCs w:val="20"/>
        </w:rPr>
      </w:pPr>
    </w:p>
    <w:p w14:paraId="01DE451F" w14:textId="77777777" w:rsidR="009A6CFA" w:rsidRDefault="009A6CFA" w:rsidP="009A6CFA">
      <w:pPr>
        <w:pStyle w:val="NormalWeb"/>
        <w:rPr>
          <w:rFonts w:ascii="Arial" w:hAnsi="Arial" w:cs="Arial"/>
          <w:bCs/>
          <w:color w:val="000000"/>
          <w:sz w:val="20"/>
          <w:szCs w:val="20"/>
        </w:rPr>
      </w:pPr>
    </w:p>
    <w:p w14:paraId="470E6AA3" w14:textId="77777777" w:rsidR="009A6CFA" w:rsidRDefault="009A6CFA" w:rsidP="009A6CFA">
      <w:pPr>
        <w:pStyle w:val="NormalWeb"/>
        <w:rPr>
          <w:rFonts w:ascii="Arial" w:hAnsi="Arial" w:cs="Arial"/>
          <w:bCs/>
          <w:color w:val="000000"/>
          <w:sz w:val="20"/>
          <w:szCs w:val="20"/>
        </w:rPr>
      </w:pPr>
    </w:p>
    <w:p w14:paraId="0F1DC7C9" w14:textId="77777777" w:rsidR="009A6CFA" w:rsidRDefault="009A6CFA" w:rsidP="009A6CFA">
      <w:pPr>
        <w:pStyle w:val="NormalWeb"/>
        <w:rPr>
          <w:rFonts w:ascii="Arial" w:hAnsi="Arial" w:cs="Arial"/>
          <w:bCs/>
          <w:color w:val="000000"/>
          <w:sz w:val="20"/>
          <w:szCs w:val="20"/>
        </w:rPr>
      </w:pPr>
    </w:p>
    <w:p w14:paraId="048628F7" w14:textId="77777777" w:rsidR="009A6CFA" w:rsidRDefault="009A6CFA" w:rsidP="009A6CFA">
      <w:pPr>
        <w:pStyle w:val="NormalWeb"/>
        <w:rPr>
          <w:rFonts w:ascii="Arial" w:hAnsi="Arial" w:cs="Arial"/>
          <w:bCs/>
          <w:color w:val="000000"/>
          <w:sz w:val="20"/>
          <w:szCs w:val="20"/>
        </w:rPr>
      </w:pPr>
    </w:p>
    <w:p w14:paraId="29DE2F06" w14:textId="77777777" w:rsidR="009A6CFA" w:rsidRDefault="009A6CFA" w:rsidP="009A6CFA">
      <w:pPr>
        <w:pStyle w:val="NormalWeb"/>
        <w:rPr>
          <w:rFonts w:ascii="Arial" w:hAnsi="Arial" w:cs="Arial"/>
          <w:bCs/>
          <w:color w:val="000000"/>
          <w:sz w:val="20"/>
          <w:szCs w:val="20"/>
        </w:rPr>
      </w:pPr>
    </w:p>
    <w:p w14:paraId="4BBEC1DC" w14:textId="77777777" w:rsidR="009A6CFA" w:rsidRDefault="009A6CFA" w:rsidP="009A6CFA">
      <w:pPr>
        <w:pStyle w:val="NormalWeb"/>
        <w:rPr>
          <w:rFonts w:ascii="Arial" w:hAnsi="Arial" w:cs="Arial"/>
          <w:bCs/>
          <w:color w:val="000000"/>
          <w:sz w:val="20"/>
          <w:szCs w:val="20"/>
        </w:rPr>
      </w:pPr>
    </w:p>
    <w:p w14:paraId="701FF61A" w14:textId="77777777" w:rsidR="009A6CFA" w:rsidRDefault="009A6CFA" w:rsidP="009A6CFA">
      <w:pPr>
        <w:pStyle w:val="NormalWeb"/>
        <w:rPr>
          <w:rFonts w:ascii="Arial" w:hAnsi="Arial" w:cs="Arial"/>
          <w:bCs/>
          <w:color w:val="000000"/>
          <w:sz w:val="20"/>
          <w:szCs w:val="20"/>
        </w:rPr>
      </w:pPr>
    </w:p>
    <w:p w14:paraId="153133D7" w14:textId="77777777" w:rsidR="009A6CFA" w:rsidRDefault="009A6CFA" w:rsidP="009A6CFA">
      <w:pPr>
        <w:pStyle w:val="NormalWeb"/>
        <w:rPr>
          <w:rFonts w:ascii="Arial" w:hAnsi="Arial" w:cs="Arial"/>
          <w:bCs/>
          <w:color w:val="000000"/>
          <w:sz w:val="20"/>
          <w:szCs w:val="20"/>
        </w:rPr>
      </w:pPr>
    </w:p>
    <w:bookmarkEnd w:id="14"/>
    <w:p w14:paraId="2EFC7757" w14:textId="77777777" w:rsidR="009A6CFA" w:rsidRDefault="009A6CFA" w:rsidP="009A6CFA">
      <w:pPr>
        <w:rPr>
          <w:lang w:val="en-US"/>
        </w:rPr>
      </w:pPr>
    </w:p>
    <w:p w14:paraId="04B96AFD" w14:textId="77777777" w:rsidR="009A6CFA" w:rsidRDefault="009A6CFA" w:rsidP="009A6CFA">
      <w:pPr>
        <w:pStyle w:val="NormalWeb"/>
        <w:rPr>
          <w:rFonts w:ascii="Arial" w:hAnsi="Arial" w:cs="Arial"/>
          <w:b/>
          <w:bCs/>
          <w:color w:val="000000"/>
          <w:sz w:val="20"/>
          <w:szCs w:val="20"/>
        </w:rPr>
      </w:pPr>
      <w:bookmarkStart w:id="15" w:name="OLE_LINK37"/>
      <w:bookmarkStart w:id="16" w:name="_Hlk141828706"/>
      <w:r>
        <w:rPr>
          <w:rFonts w:ascii="Arial" w:hAnsi="Arial" w:cs="Arial"/>
          <w:b/>
          <w:bCs/>
          <w:color w:val="000000"/>
          <w:sz w:val="20"/>
          <w:szCs w:val="20"/>
        </w:rPr>
        <w:lastRenderedPageBreak/>
        <w:t>Master Circular - Guarantees, Co-Acceptances &amp; Letters of Credit – UCBs</w:t>
      </w:r>
    </w:p>
    <w:bookmarkEnd w:id="15"/>
    <w:p w14:paraId="584A126C"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RBI/2023-24/05</w:t>
      </w:r>
      <w:r>
        <w:rPr>
          <w:rFonts w:ascii="Arial" w:hAnsi="Arial" w:cs="Arial"/>
          <w:color w:val="000000"/>
          <w:sz w:val="20"/>
          <w:szCs w:val="20"/>
        </w:rPr>
        <w:br/>
        <w:t>DoR.STR.REC.4/09.27.000/2023-24</w:t>
      </w:r>
    </w:p>
    <w:p w14:paraId="2CB1A103" w14:textId="77777777" w:rsidR="009A6CFA" w:rsidRDefault="009A6CFA" w:rsidP="009A6CFA">
      <w:pPr>
        <w:pStyle w:val="NormalWeb"/>
        <w:jc w:val="right"/>
        <w:rPr>
          <w:rFonts w:ascii="Arial" w:hAnsi="Arial" w:cs="Arial"/>
          <w:color w:val="000000"/>
          <w:sz w:val="20"/>
          <w:szCs w:val="20"/>
        </w:rPr>
      </w:pPr>
      <w:bookmarkStart w:id="17" w:name="OLE_LINK38"/>
      <w:r>
        <w:rPr>
          <w:rFonts w:ascii="Arial" w:hAnsi="Arial" w:cs="Arial"/>
          <w:color w:val="000000"/>
          <w:sz w:val="20"/>
          <w:szCs w:val="20"/>
        </w:rPr>
        <w:t>April 1, 2023</w:t>
      </w:r>
    </w:p>
    <w:bookmarkEnd w:id="17"/>
    <w:p w14:paraId="357AB985"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The Managing Director / Chief Executive Officers</w:t>
      </w:r>
      <w:r>
        <w:rPr>
          <w:rFonts w:ascii="Arial" w:hAnsi="Arial" w:cs="Arial"/>
          <w:color w:val="000000"/>
          <w:sz w:val="20"/>
          <w:szCs w:val="20"/>
        </w:rPr>
        <w:br/>
        <w:t>All Primary (Urban) Co-operative Banks</w:t>
      </w:r>
    </w:p>
    <w:p w14:paraId="402BFD75"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Dear Sir / Madam,</w:t>
      </w:r>
    </w:p>
    <w:p w14:paraId="72A738AF"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Master Circular - Guarantees, Co-Acceptances &amp; Letters of Credit - UCBs</w:t>
      </w:r>
    </w:p>
    <w:p w14:paraId="143680D9"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Please refer to our </w:t>
      </w:r>
      <w:hyperlink r:id="rId27" w:tgtFrame="_blank" w:history="1">
        <w:r>
          <w:rPr>
            <w:rStyle w:val="Hyperlink"/>
            <w:rFonts w:ascii="Arial" w:hAnsi="Arial" w:cs="Arial"/>
            <w:sz w:val="20"/>
            <w:szCs w:val="20"/>
          </w:rPr>
          <w:t>Master Circular DoR.STR.REC.9/09.27.000/2022-23 dated April 1, 2022</w:t>
        </w:r>
      </w:hyperlink>
      <w:r>
        <w:rPr>
          <w:rFonts w:ascii="Arial" w:hAnsi="Arial" w:cs="Arial"/>
          <w:color w:val="000000"/>
          <w:sz w:val="20"/>
          <w:szCs w:val="20"/>
        </w:rPr>
        <w:t> on the captioned subject (available at RBI website </w:t>
      </w:r>
      <w:hyperlink r:id="rId28" w:tgtFrame="_blank" w:history="1">
        <w:r>
          <w:rPr>
            <w:rStyle w:val="Hyperlink"/>
            <w:rFonts w:ascii="Arial" w:hAnsi="Arial" w:cs="Arial"/>
            <w:sz w:val="20"/>
            <w:szCs w:val="20"/>
          </w:rPr>
          <w:t>https://rbi.org.in/</w:t>
        </w:r>
      </w:hyperlink>
      <w:r>
        <w:rPr>
          <w:rFonts w:ascii="Arial" w:hAnsi="Arial" w:cs="Arial"/>
          <w:color w:val="000000"/>
          <w:sz w:val="20"/>
          <w:szCs w:val="20"/>
        </w:rPr>
        <w:t>). The enclosed </w:t>
      </w:r>
      <w:hyperlink r:id="rId29" w:anchor="MC1"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up to March 31, 2023 as listed in the </w:t>
      </w:r>
      <w:hyperlink r:id="rId30" w:anchor="AN1" w:history="1">
        <w:r>
          <w:rPr>
            <w:rStyle w:val="Hyperlink"/>
            <w:rFonts w:ascii="Arial" w:hAnsi="Arial" w:cs="Arial"/>
            <w:sz w:val="20"/>
            <w:szCs w:val="20"/>
          </w:rPr>
          <w:t>Annex</w:t>
        </w:r>
      </w:hyperlink>
      <w:r>
        <w:rPr>
          <w:rFonts w:ascii="Arial" w:hAnsi="Arial" w:cs="Arial"/>
          <w:color w:val="000000"/>
          <w:sz w:val="20"/>
          <w:szCs w:val="20"/>
        </w:rPr>
        <w:t>.</w:t>
      </w:r>
    </w:p>
    <w:p w14:paraId="09F9AE45"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Yours faithfully</w:t>
      </w:r>
    </w:p>
    <w:p w14:paraId="4A9F51B3"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5D0E288D" w14:textId="77777777" w:rsidR="009A6CFA" w:rsidRDefault="009A6CFA" w:rsidP="009A6CFA">
      <w:pPr>
        <w:pStyle w:val="NormalWeb"/>
        <w:rPr>
          <w:rFonts w:ascii="Arial" w:hAnsi="Arial" w:cs="Arial"/>
          <w:bCs/>
          <w:color w:val="000000"/>
          <w:sz w:val="20"/>
          <w:szCs w:val="20"/>
        </w:rPr>
      </w:pPr>
    </w:p>
    <w:p w14:paraId="033691FA" w14:textId="77777777" w:rsidR="009A6CFA" w:rsidRDefault="009A6CFA" w:rsidP="009A6CFA">
      <w:r>
        <w:t>More details can be referred to in the below link.</w:t>
      </w:r>
    </w:p>
    <w:p w14:paraId="5F8AD4BF" w14:textId="77777777" w:rsidR="009A6CFA" w:rsidRDefault="009A6CFA" w:rsidP="009A6CF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1" w:history="1">
        <w:r w:rsidRPr="005F425E">
          <w:rPr>
            <w:rStyle w:val="Hyperlink"/>
            <w:rFonts w:ascii="Arial" w:hAnsi="Arial" w:cs="Arial"/>
            <w:bCs/>
            <w:sz w:val="20"/>
            <w:szCs w:val="20"/>
          </w:rPr>
          <w:t>https://rbi.org.in/Scripts/NotificationUser.aspx?Id=12469&amp;Mode=0</w:t>
        </w:r>
      </w:hyperlink>
    </w:p>
    <w:p w14:paraId="6C1094AE" w14:textId="77777777" w:rsidR="009A6CFA" w:rsidRDefault="009A6CFA" w:rsidP="009A6CFA">
      <w:pPr>
        <w:pStyle w:val="NormalWeb"/>
        <w:rPr>
          <w:rFonts w:ascii="Arial" w:hAnsi="Arial" w:cs="Arial"/>
          <w:bCs/>
          <w:color w:val="000000"/>
          <w:sz w:val="20"/>
          <w:szCs w:val="20"/>
        </w:rPr>
      </w:pPr>
    </w:p>
    <w:p w14:paraId="5324BA44" w14:textId="77777777" w:rsidR="009A6CFA" w:rsidRDefault="009A6CFA" w:rsidP="009A6CFA">
      <w:pPr>
        <w:pStyle w:val="NormalWeb"/>
        <w:rPr>
          <w:rFonts w:ascii="Arial" w:hAnsi="Arial" w:cs="Arial"/>
          <w:bCs/>
          <w:color w:val="000000"/>
          <w:sz w:val="20"/>
          <w:szCs w:val="20"/>
        </w:rPr>
      </w:pPr>
    </w:p>
    <w:p w14:paraId="430AA1A3" w14:textId="77777777" w:rsidR="009A6CFA" w:rsidRDefault="009A6CFA" w:rsidP="009A6CFA">
      <w:pPr>
        <w:pStyle w:val="NormalWeb"/>
        <w:rPr>
          <w:rFonts w:ascii="Arial" w:hAnsi="Arial" w:cs="Arial"/>
          <w:bCs/>
          <w:color w:val="000000"/>
          <w:sz w:val="20"/>
          <w:szCs w:val="20"/>
        </w:rPr>
      </w:pPr>
    </w:p>
    <w:p w14:paraId="09E7C961" w14:textId="77777777" w:rsidR="009A6CFA" w:rsidRDefault="009A6CFA" w:rsidP="009A6CFA">
      <w:pPr>
        <w:pStyle w:val="NormalWeb"/>
        <w:rPr>
          <w:rFonts w:ascii="Arial" w:hAnsi="Arial" w:cs="Arial"/>
          <w:bCs/>
          <w:color w:val="000000"/>
          <w:sz w:val="20"/>
          <w:szCs w:val="20"/>
        </w:rPr>
      </w:pPr>
    </w:p>
    <w:p w14:paraId="1C253594" w14:textId="77777777" w:rsidR="009A6CFA" w:rsidRDefault="009A6CFA" w:rsidP="009A6CFA">
      <w:pPr>
        <w:pStyle w:val="NormalWeb"/>
        <w:rPr>
          <w:rFonts w:ascii="Arial" w:hAnsi="Arial" w:cs="Arial"/>
          <w:bCs/>
          <w:color w:val="000000"/>
          <w:sz w:val="20"/>
          <w:szCs w:val="20"/>
        </w:rPr>
      </w:pPr>
    </w:p>
    <w:p w14:paraId="5A85301A" w14:textId="77777777" w:rsidR="009A6CFA" w:rsidRDefault="009A6CFA" w:rsidP="009A6CFA">
      <w:pPr>
        <w:pStyle w:val="NormalWeb"/>
        <w:rPr>
          <w:rFonts w:ascii="Arial" w:hAnsi="Arial" w:cs="Arial"/>
          <w:bCs/>
          <w:color w:val="000000"/>
          <w:sz w:val="20"/>
          <w:szCs w:val="20"/>
        </w:rPr>
      </w:pPr>
    </w:p>
    <w:p w14:paraId="42933E45" w14:textId="77777777" w:rsidR="009A6CFA" w:rsidRDefault="009A6CFA" w:rsidP="009A6CFA">
      <w:pPr>
        <w:pStyle w:val="NormalWeb"/>
        <w:rPr>
          <w:rFonts w:ascii="Arial" w:hAnsi="Arial" w:cs="Arial"/>
          <w:bCs/>
          <w:color w:val="000000"/>
          <w:sz w:val="20"/>
          <w:szCs w:val="20"/>
        </w:rPr>
      </w:pPr>
    </w:p>
    <w:p w14:paraId="25C8BB54" w14:textId="77777777" w:rsidR="009A6CFA" w:rsidRDefault="009A6CFA" w:rsidP="009A6CFA">
      <w:pPr>
        <w:pStyle w:val="NormalWeb"/>
        <w:rPr>
          <w:rFonts w:ascii="Arial" w:hAnsi="Arial" w:cs="Arial"/>
          <w:bCs/>
          <w:color w:val="000000"/>
          <w:sz w:val="20"/>
          <w:szCs w:val="20"/>
        </w:rPr>
      </w:pPr>
    </w:p>
    <w:p w14:paraId="20C74C53" w14:textId="77777777" w:rsidR="009A6CFA" w:rsidRDefault="009A6CFA" w:rsidP="009A6CFA">
      <w:pPr>
        <w:pStyle w:val="NormalWeb"/>
        <w:rPr>
          <w:rFonts w:ascii="Arial" w:hAnsi="Arial" w:cs="Arial"/>
          <w:bCs/>
          <w:color w:val="000000"/>
          <w:sz w:val="20"/>
          <w:szCs w:val="20"/>
        </w:rPr>
      </w:pPr>
    </w:p>
    <w:p w14:paraId="18C7D895" w14:textId="77777777" w:rsidR="009A6CFA" w:rsidRDefault="009A6CFA" w:rsidP="009A6CFA">
      <w:pPr>
        <w:pStyle w:val="NormalWeb"/>
        <w:rPr>
          <w:rFonts w:ascii="Arial" w:hAnsi="Arial" w:cs="Arial"/>
          <w:bCs/>
          <w:color w:val="000000"/>
          <w:sz w:val="20"/>
          <w:szCs w:val="20"/>
        </w:rPr>
      </w:pPr>
    </w:p>
    <w:p w14:paraId="45CC8A18" w14:textId="77777777" w:rsidR="009A6CFA" w:rsidRDefault="009A6CFA" w:rsidP="009A6CFA">
      <w:pPr>
        <w:pStyle w:val="NormalWeb"/>
        <w:rPr>
          <w:rFonts w:ascii="Arial" w:hAnsi="Arial" w:cs="Arial"/>
          <w:bCs/>
          <w:color w:val="000000"/>
          <w:sz w:val="20"/>
          <w:szCs w:val="20"/>
        </w:rPr>
      </w:pPr>
    </w:p>
    <w:p w14:paraId="52DA9CE0" w14:textId="77777777" w:rsidR="009A6CFA" w:rsidRDefault="009A6CFA" w:rsidP="009A6CFA">
      <w:pPr>
        <w:pStyle w:val="NormalWeb"/>
        <w:rPr>
          <w:rFonts w:ascii="Arial" w:hAnsi="Arial" w:cs="Arial"/>
          <w:bCs/>
          <w:color w:val="000000"/>
          <w:sz w:val="20"/>
          <w:szCs w:val="20"/>
        </w:rPr>
      </w:pPr>
    </w:p>
    <w:bookmarkEnd w:id="16"/>
    <w:p w14:paraId="5D3EF87B" w14:textId="77777777" w:rsidR="009A6CFA" w:rsidRDefault="009A6CFA" w:rsidP="009A6CFA">
      <w:pPr>
        <w:rPr>
          <w:lang w:val="en-US"/>
        </w:rPr>
      </w:pPr>
    </w:p>
    <w:p w14:paraId="2DE8364B" w14:textId="77777777" w:rsidR="009A6CFA" w:rsidRDefault="009A6CFA" w:rsidP="009A6CFA">
      <w:pPr>
        <w:pStyle w:val="NormalWeb"/>
        <w:rPr>
          <w:rFonts w:ascii="Arial" w:hAnsi="Arial" w:cs="Arial"/>
          <w:b/>
          <w:bCs/>
          <w:color w:val="000000"/>
          <w:sz w:val="20"/>
          <w:szCs w:val="20"/>
        </w:rPr>
      </w:pPr>
      <w:bookmarkStart w:id="18" w:name="OLE_LINK41"/>
      <w:bookmarkStart w:id="19" w:name="_Hlk141825083"/>
      <w:r>
        <w:rPr>
          <w:rFonts w:ascii="Arial" w:hAnsi="Arial" w:cs="Arial"/>
          <w:b/>
          <w:bCs/>
          <w:color w:val="000000"/>
          <w:sz w:val="20"/>
          <w:szCs w:val="20"/>
        </w:rPr>
        <w:lastRenderedPageBreak/>
        <w:t>Master Circular - Prudential norms on Income Recognition, Asset Classification and Provisioning pertaining to Advances</w:t>
      </w:r>
    </w:p>
    <w:bookmarkEnd w:id="18"/>
    <w:p w14:paraId="40779CE2"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RBI/2023-24/06</w:t>
      </w:r>
      <w:r>
        <w:rPr>
          <w:rFonts w:ascii="Arial" w:hAnsi="Arial" w:cs="Arial"/>
          <w:color w:val="000000"/>
          <w:sz w:val="20"/>
          <w:szCs w:val="20"/>
        </w:rPr>
        <w:br/>
        <w:t>DOR.STR.REC.3/21.04.048/2023-24</w:t>
      </w:r>
    </w:p>
    <w:p w14:paraId="47CA6870"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April 1, 2023</w:t>
      </w:r>
    </w:p>
    <w:p w14:paraId="3B155E77"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All Commercial Banks (excluding RRBs)</w:t>
      </w:r>
    </w:p>
    <w:p w14:paraId="3DD5C389"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Madam/Dear Sir</w:t>
      </w:r>
    </w:p>
    <w:p w14:paraId="4CBB4379" w14:textId="77777777" w:rsidR="009A6CFA" w:rsidRDefault="009A6CFA" w:rsidP="009A6CFA">
      <w:pPr>
        <w:pStyle w:val="head"/>
        <w:rPr>
          <w:rFonts w:ascii="Arial" w:hAnsi="Arial" w:cs="Arial"/>
          <w:b/>
          <w:bCs/>
          <w:color w:val="000000"/>
          <w:sz w:val="20"/>
          <w:szCs w:val="20"/>
        </w:rPr>
      </w:pPr>
      <w:r>
        <w:rPr>
          <w:rFonts w:ascii="Arial" w:hAnsi="Arial" w:cs="Arial"/>
          <w:b/>
          <w:bCs/>
          <w:color w:val="000000"/>
          <w:sz w:val="20"/>
          <w:szCs w:val="20"/>
        </w:rPr>
        <w:t>Master Circular - Prudential norms on Income Recognition, Asset Classification and Provisioning pertaining to Advances</w:t>
      </w:r>
    </w:p>
    <w:p w14:paraId="47185797"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Please refer to the </w:t>
      </w:r>
      <w:hyperlink r:id="rId32" w:tgtFrame="_blank" w:history="1">
        <w:r>
          <w:rPr>
            <w:rStyle w:val="Hyperlink"/>
            <w:rFonts w:ascii="Arial" w:hAnsi="Arial" w:cs="Arial"/>
            <w:sz w:val="20"/>
            <w:szCs w:val="20"/>
          </w:rPr>
          <w:t>Master Circular DOR.STR.REC.4/21.04.048/2022-23 dated April 1, 2022</w:t>
        </w:r>
      </w:hyperlink>
      <w:r>
        <w:rPr>
          <w:rFonts w:ascii="Arial" w:hAnsi="Arial" w:cs="Arial"/>
          <w:color w:val="000000"/>
          <w:sz w:val="20"/>
          <w:szCs w:val="20"/>
        </w:rPr>
        <w:t> consolidating instructions / guidelines issued to banks till March 31, 2022 on matters relating to prudential norms on income recognition, asset classification and provisioning pertaining to advances.</w:t>
      </w:r>
    </w:p>
    <w:p w14:paraId="0BE52582"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2. This </w:t>
      </w:r>
      <w:hyperlink r:id="rId33"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matters issued up to March 31, 2023. A list of circulars consolidated in this Master Circular is contained in </w:t>
      </w:r>
      <w:hyperlink r:id="rId34" w:anchor="AN5" w:history="1">
        <w:r>
          <w:rPr>
            <w:rStyle w:val="Hyperlink"/>
            <w:rFonts w:ascii="Arial" w:hAnsi="Arial" w:cs="Arial"/>
            <w:sz w:val="20"/>
            <w:szCs w:val="20"/>
          </w:rPr>
          <w:t>Annex 5</w:t>
        </w:r>
      </w:hyperlink>
      <w:r>
        <w:rPr>
          <w:rFonts w:ascii="Arial" w:hAnsi="Arial" w:cs="Arial"/>
          <w:color w:val="000000"/>
          <w:sz w:val="20"/>
          <w:szCs w:val="20"/>
        </w:rPr>
        <w:t>.</w:t>
      </w:r>
    </w:p>
    <w:p w14:paraId="70DCA40C"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Yours faithfully</w:t>
      </w:r>
    </w:p>
    <w:p w14:paraId="5B8E468F"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7C35D2DB"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Encl.: As above</w:t>
      </w:r>
    </w:p>
    <w:p w14:paraId="37E725E1" w14:textId="77777777" w:rsidR="009A6CFA" w:rsidRDefault="009A6CFA" w:rsidP="009A6CFA">
      <w:pPr>
        <w:pStyle w:val="NormalWeb"/>
        <w:rPr>
          <w:rFonts w:ascii="Arial" w:hAnsi="Arial" w:cs="Arial"/>
          <w:color w:val="000000"/>
          <w:sz w:val="20"/>
          <w:szCs w:val="20"/>
        </w:rPr>
      </w:pPr>
    </w:p>
    <w:p w14:paraId="39A4E834" w14:textId="77777777" w:rsidR="009A6CFA" w:rsidRDefault="009A6CFA" w:rsidP="009A6CFA">
      <w:pPr>
        <w:pStyle w:val="NormalWeb"/>
        <w:rPr>
          <w:rFonts w:ascii="Arial" w:hAnsi="Arial" w:cs="Arial"/>
          <w:color w:val="000000"/>
          <w:sz w:val="20"/>
          <w:szCs w:val="20"/>
        </w:rPr>
      </w:pPr>
    </w:p>
    <w:p w14:paraId="066CE6F7" w14:textId="77777777" w:rsidR="009A6CFA" w:rsidRDefault="009A6CFA" w:rsidP="009A6CFA">
      <w:pPr>
        <w:pStyle w:val="NormalWeb"/>
        <w:rPr>
          <w:rFonts w:ascii="Arial" w:hAnsi="Arial" w:cs="Arial"/>
          <w:color w:val="000000"/>
          <w:sz w:val="20"/>
          <w:szCs w:val="20"/>
        </w:rPr>
      </w:pPr>
    </w:p>
    <w:p w14:paraId="1AE53D91" w14:textId="77777777" w:rsidR="009A6CFA" w:rsidRDefault="009A6CFA" w:rsidP="009A6CFA">
      <w:r>
        <w:t>More details can be referred to in the below link.</w:t>
      </w:r>
    </w:p>
    <w:p w14:paraId="6777A11D" w14:textId="77777777" w:rsidR="009A6CFA" w:rsidRDefault="009A6CFA" w:rsidP="009A6CF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5" w:history="1">
        <w:r w:rsidRPr="005F425E">
          <w:rPr>
            <w:rStyle w:val="Hyperlink"/>
            <w:rFonts w:ascii="Arial" w:hAnsi="Arial" w:cs="Arial"/>
            <w:bCs/>
            <w:sz w:val="20"/>
            <w:szCs w:val="20"/>
          </w:rPr>
          <w:t>https://rbi.org.in/Scripts/NotificationUser.aspx?Id=12472&amp;Mode=0</w:t>
        </w:r>
      </w:hyperlink>
    </w:p>
    <w:p w14:paraId="736CD3A3" w14:textId="77777777" w:rsidR="009A6CFA" w:rsidRDefault="009A6CFA" w:rsidP="009A6CFA">
      <w:pPr>
        <w:pStyle w:val="NormalWeb"/>
        <w:rPr>
          <w:rFonts w:ascii="Arial" w:hAnsi="Arial" w:cs="Arial"/>
          <w:bCs/>
          <w:color w:val="000000"/>
          <w:sz w:val="20"/>
          <w:szCs w:val="20"/>
        </w:rPr>
      </w:pPr>
    </w:p>
    <w:p w14:paraId="310008F4" w14:textId="77777777" w:rsidR="009A6CFA" w:rsidRDefault="009A6CFA" w:rsidP="009A6CFA">
      <w:pPr>
        <w:pStyle w:val="NormalWeb"/>
        <w:rPr>
          <w:rFonts w:ascii="Arial" w:hAnsi="Arial" w:cs="Arial"/>
          <w:bCs/>
          <w:color w:val="000000"/>
          <w:sz w:val="20"/>
          <w:szCs w:val="20"/>
        </w:rPr>
      </w:pPr>
    </w:p>
    <w:p w14:paraId="6964527A" w14:textId="77777777" w:rsidR="009A6CFA" w:rsidRDefault="009A6CFA" w:rsidP="009A6CFA">
      <w:pPr>
        <w:pStyle w:val="NormalWeb"/>
        <w:rPr>
          <w:rFonts w:ascii="Arial" w:hAnsi="Arial" w:cs="Arial"/>
          <w:bCs/>
          <w:color w:val="000000"/>
          <w:sz w:val="20"/>
          <w:szCs w:val="20"/>
        </w:rPr>
      </w:pPr>
    </w:p>
    <w:p w14:paraId="48BD0A5B" w14:textId="77777777" w:rsidR="009A6CFA" w:rsidRDefault="009A6CFA" w:rsidP="009A6CFA">
      <w:pPr>
        <w:pStyle w:val="NormalWeb"/>
        <w:rPr>
          <w:rFonts w:ascii="Arial" w:hAnsi="Arial" w:cs="Arial"/>
          <w:bCs/>
          <w:color w:val="000000"/>
          <w:sz w:val="20"/>
          <w:szCs w:val="20"/>
        </w:rPr>
      </w:pPr>
    </w:p>
    <w:p w14:paraId="17431E73" w14:textId="77777777" w:rsidR="009A6CFA" w:rsidRDefault="009A6CFA" w:rsidP="009A6CFA">
      <w:pPr>
        <w:pStyle w:val="NormalWeb"/>
        <w:rPr>
          <w:rFonts w:ascii="Arial" w:hAnsi="Arial" w:cs="Arial"/>
          <w:bCs/>
          <w:color w:val="000000"/>
          <w:sz w:val="20"/>
          <w:szCs w:val="20"/>
        </w:rPr>
      </w:pPr>
    </w:p>
    <w:p w14:paraId="04F3F002" w14:textId="77777777" w:rsidR="009A6CFA" w:rsidRDefault="009A6CFA" w:rsidP="009A6CFA">
      <w:pPr>
        <w:pStyle w:val="NormalWeb"/>
        <w:rPr>
          <w:rFonts w:ascii="Arial" w:hAnsi="Arial" w:cs="Arial"/>
          <w:bCs/>
          <w:color w:val="000000"/>
          <w:sz w:val="20"/>
          <w:szCs w:val="20"/>
        </w:rPr>
      </w:pPr>
    </w:p>
    <w:p w14:paraId="1D4B221E" w14:textId="77777777" w:rsidR="009A6CFA" w:rsidRDefault="009A6CFA" w:rsidP="009A6CFA">
      <w:pPr>
        <w:pStyle w:val="NormalWeb"/>
        <w:rPr>
          <w:rFonts w:ascii="Arial" w:hAnsi="Arial" w:cs="Arial"/>
          <w:bCs/>
          <w:color w:val="000000"/>
          <w:sz w:val="20"/>
          <w:szCs w:val="20"/>
        </w:rPr>
      </w:pPr>
    </w:p>
    <w:bookmarkEnd w:id="19"/>
    <w:p w14:paraId="7DD97DEA" w14:textId="77777777" w:rsidR="009A6CFA" w:rsidRDefault="009A6CFA" w:rsidP="009A6CFA">
      <w:pPr>
        <w:rPr>
          <w:lang w:val="en-US"/>
        </w:rPr>
      </w:pPr>
    </w:p>
    <w:p w14:paraId="743FAF4C" w14:textId="77777777" w:rsidR="009A6CFA" w:rsidRDefault="009A6CFA" w:rsidP="009A6CFA">
      <w:pPr>
        <w:pStyle w:val="NormalWeb"/>
        <w:rPr>
          <w:rFonts w:ascii="Arial" w:hAnsi="Arial" w:cs="Arial"/>
          <w:b/>
          <w:bCs/>
          <w:color w:val="000000"/>
          <w:sz w:val="20"/>
          <w:szCs w:val="20"/>
        </w:rPr>
      </w:pPr>
      <w:bookmarkStart w:id="20" w:name="OLE_LINK42"/>
      <w:bookmarkStart w:id="21" w:name="_Hlk141826336"/>
      <w:r>
        <w:rPr>
          <w:rFonts w:ascii="Arial" w:hAnsi="Arial" w:cs="Arial"/>
          <w:b/>
          <w:bCs/>
          <w:color w:val="000000"/>
          <w:sz w:val="20"/>
          <w:szCs w:val="20"/>
        </w:rPr>
        <w:lastRenderedPageBreak/>
        <w:t>Master Direction – Reserve Bank of India (Classification, Valuation and Operation of Investment Portfolio of Primary (Urban) Co-operative Banks) Directions, 2023</w:t>
      </w:r>
    </w:p>
    <w:bookmarkEnd w:id="20"/>
    <w:p w14:paraId="4A34F59D"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RBI/2023-24/96</w:t>
      </w:r>
      <w:r>
        <w:rPr>
          <w:rFonts w:ascii="Arial" w:hAnsi="Arial" w:cs="Arial"/>
          <w:color w:val="000000"/>
          <w:sz w:val="20"/>
          <w:szCs w:val="20"/>
        </w:rPr>
        <w:br/>
        <w:t>DOR.MRG.REC.01/00-00-011/2023-24</w:t>
      </w:r>
    </w:p>
    <w:p w14:paraId="6CBF5D60"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April 1, 2023</w:t>
      </w:r>
    </w:p>
    <w:p w14:paraId="046E27CF"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14:paraId="10F9F476"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Madam / Sir,</w:t>
      </w:r>
    </w:p>
    <w:p w14:paraId="6024188D"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(Classification, Valuation and Operation of Investment Portfolio of Primary (Urban) Co-operative Banks) Directions, 2023</w:t>
      </w:r>
    </w:p>
    <w:p w14:paraId="63CEB036"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 instructions / directives to the banks on Prudential Norms for Classification, Valuation and Operation of Investment Portfolio by Primary (Urban) Co-operative Banks (UCBs).</w:t>
      </w:r>
    </w:p>
    <w:p w14:paraId="0B4B0367"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2. To enable UCBs to have current instructions at one place, a </w:t>
      </w:r>
      <w:hyperlink r:id="rId36" w:anchor="MD" w:history="1">
        <w:r>
          <w:rPr>
            <w:rStyle w:val="Hyperlink"/>
            <w:rFonts w:ascii="Arial" w:hAnsi="Arial" w:cs="Arial"/>
            <w:sz w:val="20"/>
            <w:szCs w:val="20"/>
          </w:rPr>
          <w:t>Master Direction</w:t>
        </w:r>
      </w:hyperlink>
      <w:r>
        <w:rPr>
          <w:rFonts w:ascii="Arial" w:hAnsi="Arial" w:cs="Arial"/>
          <w:color w:val="000000"/>
          <w:sz w:val="20"/>
          <w:szCs w:val="20"/>
        </w:rPr>
        <w:t> incorporating all the existing guidelines / instructions / directives on the subject has been prepared for reference of the banks.</w:t>
      </w:r>
    </w:p>
    <w:p w14:paraId="57CE3C97"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3. This Direction has been issued by RBI in exercise of its powers conferred under Section 35A of the Banking Regulation Act 1949 read with Section 56 thereof, and of all the powers enabling it in this behalf.</w:t>
      </w:r>
    </w:p>
    <w:p w14:paraId="1DF75336"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Yours faithfully,</w:t>
      </w:r>
    </w:p>
    <w:p w14:paraId="343FF6BD"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14E98C60" w14:textId="77777777" w:rsidR="009A6CFA" w:rsidRDefault="009A6CFA" w:rsidP="009A6CFA">
      <w:r>
        <w:t>More details can be referred to in the below link.</w:t>
      </w:r>
    </w:p>
    <w:p w14:paraId="5EBAFEF0" w14:textId="77777777" w:rsidR="009A6CFA" w:rsidRDefault="009A6CFA" w:rsidP="009A6CF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7" w:history="1">
        <w:r w:rsidRPr="005F425E">
          <w:rPr>
            <w:rStyle w:val="Hyperlink"/>
            <w:rFonts w:ascii="Arial" w:hAnsi="Arial" w:cs="Arial"/>
            <w:bCs/>
            <w:sz w:val="20"/>
            <w:szCs w:val="20"/>
          </w:rPr>
          <w:t>https://rbi.org.in/Scripts/NotificationUser.aspx?Id=12473&amp;Mode=0</w:t>
        </w:r>
      </w:hyperlink>
    </w:p>
    <w:p w14:paraId="46D322A4" w14:textId="77777777" w:rsidR="009A6CFA" w:rsidRDefault="009A6CFA" w:rsidP="009A6CFA">
      <w:pPr>
        <w:pStyle w:val="NormalWeb"/>
        <w:rPr>
          <w:rFonts w:ascii="Arial" w:hAnsi="Arial" w:cs="Arial"/>
          <w:bCs/>
          <w:color w:val="000000"/>
          <w:sz w:val="20"/>
          <w:szCs w:val="20"/>
        </w:rPr>
      </w:pPr>
    </w:p>
    <w:p w14:paraId="2CE4C52C" w14:textId="77777777" w:rsidR="009A6CFA" w:rsidRDefault="009A6CFA" w:rsidP="009A6CFA">
      <w:pPr>
        <w:pStyle w:val="NormalWeb"/>
        <w:rPr>
          <w:rFonts w:ascii="Arial" w:hAnsi="Arial" w:cs="Arial"/>
          <w:bCs/>
          <w:color w:val="000000"/>
          <w:sz w:val="20"/>
          <w:szCs w:val="20"/>
        </w:rPr>
      </w:pPr>
    </w:p>
    <w:p w14:paraId="5F6CE96C" w14:textId="77777777" w:rsidR="009A6CFA" w:rsidRDefault="009A6CFA" w:rsidP="009A6CFA">
      <w:pPr>
        <w:pStyle w:val="NormalWeb"/>
        <w:rPr>
          <w:rFonts w:ascii="Arial" w:hAnsi="Arial" w:cs="Arial"/>
          <w:bCs/>
          <w:color w:val="000000"/>
          <w:sz w:val="20"/>
          <w:szCs w:val="20"/>
        </w:rPr>
      </w:pPr>
    </w:p>
    <w:p w14:paraId="7043B62A" w14:textId="77777777" w:rsidR="009A6CFA" w:rsidRDefault="009A6CFA" w:rsidP="009A6CFA">
      <w:pPr>
        <w:pStyle w:val="NormalWeb"/>
        <w:rPr>
          <w:rFonts w:ascii="Arial" w:hAnsi="Arial" w:cs="Arial"/>
          <w:bCs/>
          <w:color w:val="000000"/>
          <w:sz w:val="20"/>
          <w:szCs w:val="20"/>
        </w:rPr>
      </w:pPr>
    </w:p>
    <w:p w14:paraId="70B0529B" w14:textId="77777777" w:rsidR="009A6CFA" w:rsidRDefault="009A6CFA" w:rsidP="009A6CFA">
      <w:pPr>
        <w:pStyle w:val="NormalWeb"/>
        <w:rPr>
          <w:rFonts w:ascii="Arial" w:hAnsi="Arial" w:cs="Arial"/>
          <w:bCs/>
          <w:color w:val="000000"/>
          <w:sz w:val="20"/>
          <w:szCs w:val="20"/>
        </w:rPr>
      </w:pPr>
    </w:p>
    <w:p w14:paraId="375DED22" w14:textId="77777777" w:rsidR="009A6CFA" w:rsidRDefault="009A6CFA" w:rsidP="009A6CFA">
      <w:pPr>
        <w:pStyle w:val="NormalWeb"/>
        <w:rPr>
          <w:rFonts w:ascii="Arial" w:hAnsi="Arial" w:cs="Arial"/>
          <w:bCs/>
          <w:color w:val="000000"/>
          <w:sz w:val="20"/>
          <w:szCs w:val="20"/>
        </w:rPr>
      </w:pPr>
    </w:p>
    <w:p w14:paraId="295F0FB0" w14:textId="77777777" w:rsidR="009A6CFA" w:rsidRDefault="009A6CFA" w:rsidP="009A6CFA">
      <w:pPr>
        <w:pStyle w:val="NormalWeb"/>
        <w:rPr>
          <w:rFonts w:ascii="Arial" w:hAnsi="Arial" w:cs="Arial"/>
          <w:bCs/>
          <w:color w:val="000000"/>
          <w:sz w:val="20"/>
          <w:szCs w:val="20"/>
        </w:rPr>
      </w:pPr>
    </w:p>
    <w:p w14:paraId="3EE9A0B7" w14:textId="77777777" w:rsidR="009A6CFA" w:rsidRDefault="009A6CFA" w:rsidP="009A6CFA">
      <w:pPr>
        <w:pStyle w:val="NormalWeb"/>
        <w:rPr>
          <w:rFonts w:ascii="Arial" w:hAnsi="Arial" w:cs="Arial"/>
          <w:bCs/>
          <w:color w:val="000000"/>
          <w:sz w:val="20"/>
          <w:szCs w:val="20"/>
        </w:rPr>
      </w:pPr>
    </w:p>
    <w:p w14:paraId="23C754CA" w14:textId="77777777" w:rsidR="009A6CFA" w:rsidRDefault="009A6CFA" w:rsidP="009A6CFA">
      <w:pPr>
        <w:pStyle w:val="NormalWeb"/>
        <w:rPr>
          <w:rFonts w:ascii="Arial" w:hAnsi="Arial" w:cs="Arial"/>
          <w:bCs/>
          <w:color w:val="000000"/>
          <w:sz w:val="20"/>
          <w:szCs w:val="20"/>
        </w:rPr>
      </w:pPr>
    </w:p>
    <w:bookmarkEnd w:id="21"/>
    <w:p w14:paraId="516AE6C9" w14:textId="77777777" w:rsidR="009A6CFA" w:rsidRDefault="009A6CFA" w:rsidP="009A6CFA">
      <w:pPr>
        <w:rPr>
          <w:lang w:val="en-US"/>
        </w:rPr>
      </w:pPr>
    </w:p>
    <w:p w14:paraId="13176860" w14:textId="77777777" w:rsidR="009A6CFA" w:rsidRDefault="009A6CFA" w:rsidP="009A6CFA">
      <w:pPr>
        <w:pStyle w:val="NormalWeb"/>
        <w:rPr>
          <w:rFonts w:ascii="Arial" w:hAnsi="Arial" w:cs="Arial"/>
          <w:b/>
          <w:bCs/>
          <w:color w:val="000000"/>
          <w:sz w:val="20"/>
          <w:szCs w:val="20"/>
        </w:rPr>
      </w:pPr>
      <w:bookmarkStart w:id="22" w:name="OLE_LINK45"/>
      <w:bookmarkStart w:id="23" w:name="_Hlk141825116"/>
      <w:r>
        <w:rPr>
          <w:rFonts w:ascii="Arial" w:hAnsi="Arial" w:cs="Arial"/>
          <w:b/>
          <w:bCs/>
          <w:color w:val="000000"/>
          <w:sz w:val="20"/>
          <w:szCs w:val="20"/>
        </w:rPr>
        <w:lastRenderedPageBreak/>
        <w:t>Master Circular - Bank Finance to Non-Banking Financial Companies (NBFCs)</w:t>
      </w:r>
    </w:p>
    <w:bookmarkEnd w:id="22"/>
    <w:p w14:paraId="040BDF1B"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RBI/2023-24/09</w:t>
      </w:r>
      <w:r>
        <w:rPr>
          <w:rFonts w:ascii="Arial" w:hAnsi="Arial" w:cs="Arial"/>
          <w:color w:val="000000"/>
          <w:sz w:val="20"/>
          <w:szCs w:val="20"/>
        </w:rPr>
        <w:br/>
        <w:t>DOR.CRE.REC.No.07/21.04.172/2023-24</w:t>
      </w:r>
    </w:p>
    <w:p w14:paraId="567AB313"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April 03, 2023</w:t>
      </w:r>
    </w:p>
    <w:p w14:paraId="3C34B672"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All Scheduled Commercial Banks (excluding RRBs)</w:t>
      </w:r>
    </w:p>
    <w:p w14:paraId="4D480563"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Madam/ Dear Sir,</w:t>
      </w:r>
    </w:p>
    <w:p w14:paraId="5F0375DD" w14:textId="77777777" w:rsidR="009A6CFA" w:rsidRDefault="009A6CFA" w:rsidP="009A6CFA">
      <w:pPr>
        <w:pStyle w:val="head"/>
        <w:jc w:val="center"/>
        <w:rPr>
          <w:rFonts w:ascii="Arial" w:hAnsi="Arial" w:cs="Arial"/>
          <w:b/>
          <w:bCs/>
          <w:color w:val="000000"/>
          <w:sz w:val="20"/>
          <w:szCs w:val="20"/>
        </w:rPr>
      </w:pPr>
      <w:r>
        <w:rPr>
          <w:rFonts w:ascii="Arial" w:hAnsi="Arial" w:cs="Arial"/>
          <w:b/>
          <w:bCs/>
          <w:color w:val="000000"/>
          <w:sz w:val="20"/>
          <w:szCs w:val="20"/>
        </w:rPr>
        <w:t>Master Circular - Bank Finance to Non-Banking Financial Companies (NBFCs)</w:t>
      </w:r>
    </w:p>
    <w:p w14:paraId="22CD8364"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38" w:tgtFrame="_blank" w:history="1">
        <w:r>
          <w:rPr>
            <w:rStyle w:val="Hyperlink"/>
            <w:rFonts w:ascii="Arial" w:hAnsi="Arial" w:cs="Arial"/>
            <w:sz w:val="20"/>
            <w:szCs w:val="20"/>
          </w:rPr>
          <w:t>Master Circular DOR.CRE.REC.No.07/21.04.172/2022-23 dated April 01, 2022</w:t>
        </w:r>
      </w:hyperlink>
      <w:r>
        <w:rPr>
          <w:rFonts w:ascii="Arial" w:hAnsi="Arial" w:cs="Arial"/>
          <w:color w:val="000000"/>
          <w:sz w:val="20"/>
          <w:szCs w:val="20"/>
        </w:rPr>
        <w:t> on the captioned subject. This </w:t>
      </w:r>
      <w:hyperlink r:id="rId39"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 issued up to March 31, 2023.</w:t>
      </w:r>
    </w:p>
    <w:p w14:paraId="41366094"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Yours faithfully,</w:t>
      </w:r>
    </w:p>
    <w:p w14:paraId="5E23F205"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24088502" w14:textId="77777777" w:rsidR="009A6CFA" w:rsidRDefault="009A6CFA" w:rsidP="009A6CFA">
      <w:pPr>
        <w:pStyle w:val="NormalWeb"/>
        <w:rPr>
          <w:rFonts w:ascii="Arial" w:hAnsi="Arial" w:cs="Arial"/>
          <w:bCs/>
          <w:color w:val="000000"/>
          <w:sz w:val="20"/>
          <w:szCs w:val="20"/>
        </w:rPr>
      </w:pPr>
    </w:p>
    <w:p w14:paraId="75E3535F" w14:textId="77777777" w:rsidR="009A6CFA" w:rsidRDefault="009A6CFA" w:rsidP="009A6CFA">
      <w:r>
        <w:t>More details can be referred to in the below link.</w:t>
      </w:r>
    </w:p>
    <w:p w14:paraId="2D0265D0" w14:textId="77777777" w:rsidR="009A6CFA" w:rsidRDefault="009A6CFA" w:rsidP="009A6CFA">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40" w:history="1">
        <w:r w:rsidRPr="005F425E">
          <w:rPr>
            <w:rStyle w:val="Hyperlink"/>
            <w:rFonts w:ascii="Arial" w:hAnsi="Arial" w:cs="Arial"/>
            <w:bCs/>
            <w:sz w:val="20"/>
            <w:szCs w:val="20"/>
          </w:rPr>
          <w:t>https://rbi.org.in/Scripts/NotificationUser.aspx?Id=12476&amp;Mode=0</w:t>
        </w:r>
      </w:hyperlink>
    </w:p>
    <w:p w14:paraId="5008B19B" w14:textId="77777777" w:rsidR="009A6CFA" w:rsidRDefault="009A6CFA" w:rsidP="009A6CFA">
      <w:pPr>
        <w:pStyle w:val="NormalWeb"/>
        <w:rPr>
          <w:rFonts w:ascii="Arial" w:hAnsi="Arial" w:cs="Arial"/>
          <w:bCs/>
          <w:color w:val="000000"/>
          <w:sz w:val="20"/>
          <w:szCs w:val="20"/>
        </w:rPr>
      </w:pPr>
    </w:p>
    <w:p w14:paraId="7892675D" w14:textId="77777777" w:rsidR="009A6CFA" w:rsidRDefault="009A6CFA" w:rsidP="009A6CFA">
      <w:pPr>
        <w:pStyle w:val="NormalWeb"/>
        <w:rPr>
          <w:rFonts w:ascii="Arial" w:hAnsi="Arial" w:cs="Arial"/>
          <w:bCs/>
          <w:color w:val="000000"/>
          <w:sz w:val="20"/>
          <w:szCs w:val="20"/>
        </w:rPr>
      </w:pPr>
    </w:p>
    <w:p w14:paraId="239455BF" w14:textId="77777777" w:rsidR="009A6CFA" w:rsidRDefault="009A6CFA" w:rsidP="009A6CFA">
      <w:pPr>
        <w:pStyle w:val="NormalWeb"/>
        <w:rPr>
          <w:rFonts w:ascii="Arial" w:hAnsi="Arial" w:cs="Arial"/>
          <w:bCs/>
          <w:color w:val="000000"/>
          <w:sz w:val="20"/>
          <w:szCs w:val="20"/>
        </w:rPr>
      </w:pPr>
    </w:p>
    <w:p w14:paraId="0CAA36B7" w14:textId="77777777" w:rsidR="009A6CFA" w:rsidRDefault="009A6CFA" w:rsidP="009A6CFA">
      <w:pPr>
        <w:pStyle w:val="NormalWeb"/>
        <w:rPr>
          <w:rFonts w:ascii="Arial" w:hAnsi="Arial" w:cs="Arial"/>
          <w:bCs/>
          <w:color w:val="000000"/>
          <w:sz w:val="20"/>
          <w:szCs w:val="20"/>
        </w:rPr>
      </w:pPr>
    </w:p>
    <w:p w14:paraId="7901B20A" w14:textId="77777777" w:rsidR="009A6CFA" w:rsidRDefault="009A6CFA" w:rsidP="009A6CFA">
      <w:pPr>
        <w:pStyle w:val="NormalWeb"/>
        <w:rPr>
          <w:rFonts w:ascii="Arial" w:hAnsi="Arial" w:cs="Arial"/>
          <w:bCs/>
          <w:color w:val="000000"/>
          <w:sz w:val="20"/>
          <w:szCs w:val="20"/>
        </w:rPr>
      </w:pPr>
    </w:p>
    <w:p w14:paraId="5118263D" w14:textId="77777777" w:rsidR="009A6CFA" w:rsidRDefault="009A6CFA" w:rsidP="009A6CFA">
      <w:pPr>
        <w:pStyle w:val="NormalWeb"/>
        <w:rPr>
          <w:rFonts w:ascii="Arial" w:hAnsi="Arial" w:cs="Arial"/>
          <w:bCs/>
          <w:color w:val="000000"/>
          <w:sz w:val="20"/>
          <w:szCs w:val="20"/>
        </w:rPr>
      </w:pPr>
    </w:p>
    <w:p w14:paraId="267FCEB3" w14:textId="77777777" w:rsidR="009A6CFA" w:rsidRDefault="009A6CFA" w:rsidP="009A6CFA">
      <w:pPr>
        <w:pStyle w:val="NormalWeb"/>
        <w:rPr>
          <w:rFonts w:ascii="Arial" w:hAnsi="Arial" w:cs="Arial"/>
          <w:bCs/>
          <w:color w:val="000000"/>
          <w:sz w:val="20"/>
          <w:szCs w:val="20"/>
        </w:rPr>
      </w:pPr>
    </w:p>
    <w:p w14:paraId="10296905" w14:textId="77777777" w:rsidR="009A6CFA" w:rsidRDefault="009A6CFA" w:rsidP="009A6CFA">
      <w:pPr>
        <w:pStyle w:val="NormalWeb"/>
        <w:rPr>
          <w:rFonts w:ascii="Arial" w:hAnsi="Arial" w:cs="Arial"/>
          <w:bCs/>
          <w:color w:val="000000"/>
          <w:sz w:val="20"/>
          <w:szCs w:val="20"/>
        </w:rPr>
      </w:pPr>
    </w:p>
    <w:p w14:paraId="1FAE9CF1" w14:textId="77777777" w:rsidR="009A6CFA" w:rsidRDefault="009A6CFA" w:rsidP="009A6CFA">
      <w:pPr>
        <w:pStyle w:val="NormalWeb"/>
        <w:rPr>
          <w:rFonts w:ascii="Arial" w:hAnsi="Arial" w:cs="Arial"/>
          <w:bCs/>
          <w:color w:val="000000"/>
          <w:sz w:val="20"/>
          <w:szCs w:val="20"/>
        </w:rPr>
      </w:pPr>
    </w:p>
    <w:p w14:paraId="08C77EE7" w14:textId="77777777" w:rsidR="009A6CFA" w:rsidRDefault="009A6CFA" w:rsidP="009A6CFA">
      <w:pPr>
        <w:pStyle w:val="NormalWeb"/>
        <w:rPr>
          <w:rFonts w:ascii="Arial" w:hAnsi="Arial" w:cs="Arial"/>
          <w:bCs/>
          <w:color w:val="000000"/>
          <w:sz w:val="20"/>
          <w:szCs w:val="20"/>
        </w:rPr>
      </w:pPr>
    </w:p>
    <w:p w14:paraId="685C23FB" w14:textId="77777777" w:rsidR="009A6CFA" w:rsidRDefault="009A6CFA" w:rsidP="009A6CFA">
      <w:pPr>
        <w:pStyle w:val="NormalWeb"/>
        <w:rPr>
          <w:rFonts w:ascii="Arial" w:hAnsi="Arial" w:cs="Arial"/>
          <w:bCs/>
          <w:color w:val="000000"/>
          <w:sz w:val="20"/>
          <w:szCs w:val="20"/>
        </w:rPr>
      </w:pPr>
    </w:p>
    <w:p w14:paraId="31DD39A3" w14:textId="77777777" w:rsidR="009A6CFA" w:rsidRDefault="009A6CFA" w:rsidP="009A6CFA">
      <w:pPr>
        <w:pStyle w:val="NormalWeb"/>
        <w:rPr>
          <w:rFonts w:ascii="Arial" w:hAnsi="Arial" w:cs="Arial"/>
          <w:bCs/>
          <w:color w:val="000000"/>
          <w:sz w:val="20"/>
          <w:szCs w:val="20"/>
        </w:rPr>
      </w:pPr>
    </w:p>
    <w:bookmarkEnd w:id="23"/>
    <w:p w14:paraId="6BAB9181" w14:textId="77777777" w:rsidR="009A6CFA" w:rsidRDefault="009A6CFA" w:rsidP="009A6CFA">
      <w:pPr>
        <w:rPr>
          <w:lang w:val="en-US"/>
        </w:rPr>
      </w:pPr>
    </w:p>
    <w:p w14:paraId="5BEAD7E2" w14:textId="77777777" w:rsidR="009A6CFA" w:rsidRDefault="009A6CFA" w:rsidP="009A6CFA">
      <w:pPr>
        <w:rPr>
          <w:lang w:val="en-US"/>
        </w:rPr>
      </w:pPr>
    </w:p>
    <w:p w14:paraId="1F85919F" w14:textId="77777777" w:rsidR="009A6CFA" w:rsidRDefault="009A6CFA" w:rsidP="009A6CFA">
      <w:pPr>
        <w:spacing w:after="0"/>
        <w:rPr>
          <w:rFonts w:ascii="Arial" w:hAnsi="Arial" w:cs="Arial"/>
          <w:b/>
          <w:bCs/>
          <w:color w:val="000000"/>
          <w:sz w:val="20"/>
          <w:szCs w:val="20"/>
        </w:rPr>
      </w:pPr>
      <w:bookmarkStart w:id="24" w:name="OLE_LINK55"/>
      <w:r>
        <w:rPr>
          <w:rFonts w:ascii="Arial" w:hAnsi="Arial" w:cs="Arial"/>
          <w:b/>
          <w:bCs/>
          <w:color w:val="000000"/>
          <w:sz w:val="20"/>
          <w:szCs w:val="20"/>
        </w:rPr>
        <w:lastRenderedPageBreak/>
        <w:t>Master Direction on Outsourcing of Information Technology Services</w:t>
      </w:r>
    </w:p>
    <w:bookmarkEnd w:id="24"/>
    <w:p w14:paraId="623046F8"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RBI/2023-24/102</w:t>
      </w:r>
      <w:r>
        <w:rPr>
          <w:rFonts w:ascii="Arial" w:hAnsi="Arial" w:cs="Arial"/>
          <w:color w:val="000000"/>
          <w:sz w:val="20"/>
          <w:szCs w:val="20"/>
        </w:rPr>
        <w:br/>
      </w:r>
      <w:proofErr w:type="spellStart"/>
      <w:r>
        <w:rPr>
          <w:rFonts w:ascii="Arial" w:hAnsi="Arial" w:cs="Arial"/>
          <w:color w:val="000000"/>
          <w:sz w:val="20"/>
          <w:szCs w:val="20"/>
        </w:rPr>
        <w:t>DoS.CO.CSITEG</w:t>
      </w:r>
      <w:proofErr w:type="spellEnd"/>
      <w:r>
        <w:rPr>
          <w:rFonts w:ascii="Arial" w:hAnsi="Arial" w:cs="Arial"/>
          <w:color w:val="000000"/>
          <w:sz w:val="20"/>
          <w:szCs w:val="20"/>
        </w:rPr>
        <w:t>/SEC.1/31.01.015/2023-24</w:t>
      </w:r>
    </w:p>
    <w:p w14:paraId="711F797F"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April 10, 2023</w:t>
      </w:r>
    </w:p>
    <w:p w14:paraId="5F85026F"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Scheduled Commercial Banks (excluding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w:t>
      </w:r>
      <w:r>
        <w:rPr>
          <w:rFonts w:ascii="Arial" w:hAnsi="Arial" w:cs="Arial"/>
          <w:color w:val="000000"/>
          <w:sz w:val="20"/>
          <w:szCs w:val="20"/>
        </w:rPr>
        <w:br/>
        <w:t>Non-Banking Financial Companies;</w:t>
      </w:r>
      <w:r>
        <w:rPr>
          <w:rFonts w:ascii="Arial" w:hAnsi="Arial" w:cs="Arial"/>
          <w:color w:val="000000"/>
          <w:sz w:val="20"/>
          <w:szCs w:val="20"/>
        </w:rPr>
        <w:br/>
        <w:t>Credit Information Companies; and</w:t>
      </w:r>
      <w:r>
        <w:rPr>
          <w:rFonts w:ascii="Arial" w:hAnsi="Arial" w:cs="Arial"/>
          <w:color w:val="000000"/>
          <w:sz w:val="20"/>
          <w:szCs w:val="20"/>
        </w:rPr>
        <w:br/>
        <w:t xml:space="preserve">All India Financial Institutions (EXIM Bank, NABARD, </w:t>
      </w:r>
      <w:proofErr w:type="spellStart"/>
      <w:r>
        <w:rPr>
          <w:rFonts w:ascii="Arial" w:hAnsi="Arial" w:cs="Arial"/>
          <w:color w:val="000000"/>
          <w:sz w:val="20"/>
          <w:szCs w:val="20"/>
        </w:rPr>
        <w:t>NaBFID</w:t>
      </w:r>
      <w:proofErr w:type="spellEnd"/>
      <w:r>
        <w:rPr>
          <w:rFonts w:ascii="Arial" w:hAnsi="Arial" w:cs="Arial"/>
          <w:color w:val="000000"/>
          <w:sz w:val="20"/>
          <w:szCs w:val="20"/>
        </w:rPr>
        <w:t>, NHB and SIDBI)</w:t>
      </w:r>
    </w:p>
    <w:p w14:paraId="0CBB3B90"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Madam/Dear Sir,</w:t>
      </w:r>
    </w:p>
    <w:p w14:paraId="05E8B19F"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Master Direction on Outsourcing of Information Technology Services</w:t>
      </w:r>
    </w:p>
    <w:p w14:paraId="4AF2DDFA"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Regulated Entities (REs) have been extensively leveraging Information Technology (IT) and IT enabled Services (</w:t>
      </w:r>
      <w:proofErr w:type="spellStart"/>
      <w:r>
        <w:rPr>
          <w:rFonts w:ascii="Arial" w:hAnsi="Arial" w:cs="Arial"/>
          <w:color w:val="000000"/>
          <w:sz w:val="20"/>
          <w:szCs w:val="20"/>
        </w:rPr>
        <w:t>ITeS</w:t>
      </w:r>
      <w:proofErr w:type="spellEnd"/>
      <w:r>
        <w:rPr>
          <w:rFonts w:ascii="Arial" w:hAnsi="Arial" w:cs="Arial"/>
          <w:color w:val="000000"/>
          <w:sz w:val="20"/>
          <w:szCs w:val="20"/>
        </w:rPr>
        <w:t>) to support their business models, products and services offered to their customers. REs also outsource substantial portion of their IT activities to third parties, which expose them to various risks.</w:t>
      </w:r>
    </w:p>
    <w:p w14:paraId="623AA905"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2. In order to ensure effective management of attendant risks, the </w:t>
      </w:r>
      <w:hyperlink r:id="rId41" w:tgtFrame="_blank" w:history="1">
        <w:r>
          <w:rPr>
            <w:rStyle w:val="Hyperlink"/>
            <w:rFonts w:ascii="Arial" w:hAnsi="Arial" w:cs="Arial"/>
            <w:sz w:val="20"/>
            <w:szCs w:val="20"/>
          </w:rPr>
          <w:t>Statement on Developmental and Regulatory Policies dated February 10, 2022</w:t>
        </w:r>
      </w:hyperlink>
      <w:r>
        <w:rPr>
          <w:rFonts w:ascii="Arial" w:hAnsi="Arial" w:cs="Arial"/>
          <w:color w:val="000000"/>
          <w:sz w:val="20"/>
          <w:szCs w:val="20"/>
        </w:rPr>
        <w:t>, proposed the issuance of suitable regulatory guidelines on Outsourcing of IT Services. Accordingly, a draft Master Direction on Outsourcing of IT Services was released for public comments in </w:t>
      </w:r>
      <w:hyperlink r:id="rId42" w:tgtFrame="_blank" w:history="1">
        <w:r>
          <w:rPr>
            <w:rStyle w:val="Hyperlink"/>
            <w:rFonts w:ascii="Arial" w:hAnsi="Arial" w:cs="Arial"/>
            <w:sz w:val="20"/>
            <w:szCs w:val="20"/>
          </w:rPr>
          <w:t>June 2022</w:t>
        </w:r>
      </w:hyperlink>
      <w:r>
        <w:rPr>
          <w:rFonts w:ascii="Arial" w:hAnsi="Arial" w:cs="Arial"/>
          <w:color w:val="000000"/>
          <w:sz w:val="20"/>
          <w:szCs w:val="20"/>
        </w:rPr>
        <w:t>. Based on feedback received, the finalised Reserve Bank of India (Outsourcing of Information Technology Services) Directions, 2023 are </w:t>
      </w:r>
      <w:hyperlink r:id="rId43" w:anchor="MD" w:history="1">
        <w:r>
          <w:rPr>
            <w:rStyle w:val="Hyperlink"/>
            <w:rFonts w:ascii="Arial" w:hAnsi="Arial" w:cs="Arial"/>
            <w:sz w:val="20"/>
            <w:szCs w:val="20"/>
          </w:rPr>
          <w:t>enclosed</w:t>
        </w:r>
      </w:hyperlink>
      <w:r>
        <w:rPr>
          <w:rFonts w:ascii="Arial" w:hAnsi="Arial" w:cs="Arial"/>
          <w:color w:val="000000"/>
          <w:sz w:val="20"/>
          <w:szCs w:val="20"/>
        </w:rPr>
        <w:t> herewith.</w:t>
      </w:r>
    </w:p>
    <w:p w14:paraId="7F72FF8D"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3. The underlying principle of these Directions is to ensure that outsourcing arrangements neither diminish REs ability to fulfil its obligations to customers nor impede effective supervision by the RBI.</w:t>
      </w:r>
    </w:p>
    <w:p w14:paraId="79C2C326"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4. With a view to provide REs adequate time to comply with the requirements, the enclosed Directions shall come into effect from October 1, 2023.</w:t>
      </w:r>
    </w:p>
    <w:p w14:paraId="3FC57D9E"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Yours faithfully,</w:t>
      </w:r>
    </w:p>
    <w:p w14:paraId="1670F722"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T.K.Rajan</w:t>
      </w:r>
      <w:proofErr w:type="spellEnd"/>
      <w:r>
        <w:rPr>
          <w:rFonts w:ascii="Arial" w:hAnsi="Arial" w:cs="Arial"/>
          <w:color w:val="000000"/>
          <w:sz w:val="20"/>
          <w:szCs w:val="20"/>
        </w:rPr>
        <w:t>)</w:t>
      </w:r>
      <w:r>
        <w:rPr>
          <w:rFonts w:ascii="Arial" w:hAnsi="Arial" w:cs="Arial"/>
          <w:color w:val="000000"/>
          <w:sz w:val="20"/>
          <w:szCs w:val="20"/>
        </w:rPr>
        <w:br/>
        <w:t>Chief General Manager</w:t>
      </w:r>
    </w:p>
    <w:p w14:paraId="06C599F0" w14:textId="77777777" w:rsidR="009A6CFA" w:rsidRDefault="009A6CFA" w:rsidP="009A6CFA">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Reserve Bank of India (Outsourcing of Information Technology Services) Directions, 2023</w:t>
      </w:r>
    </w:p>
    <w:p w14:paraId="65AF43B5" w14:textId="77777777" w:rsidR="009A6CFA" w:rsidRPr="004D35B6" w:rsidRDefault="009A6CFA" w:rsidP="009A6CFA">
      <w:pPr>
        <w:spacing w:after="0"/>
      </w:pPr>
    </w:p>
    <w:p w14:paraId="0FC56773" w14:textId="77777777" w:rsidR="009A6CFA" w:rsidRDefault="009A6CFA" w:rsidP="009A6CFA">
      <w:pPr>
        <w:pStyle w:val="NormalWeb"/>
        <w:rPr>
          <w:rFonts w:ascii="Arial" w:hAnsi="Arial" w:cs="Arial"/>
          <w:bCs/>
          <w:color w:val="000000"/>
          <w:sz w:val="20"/>
          <w:szCs w:val="20"/>
        </w:rPr>
      </w:pPr>
    </w:p>
    <w:p w14:paraId="231E6173" w14:textId="77777777" w:rsidR="009A6CFA" w:rsidRDefault="009A6CFA" w:rsidP="009A6CFA">
      <w:pPr>
        <w:spacing w:after="0"/>
      </w:pPr>
      <w:r>
        <w:t>More details can be referred to in the below link.</w:t>
      </w:r>
    </w:p>
    <w:p w14:paraId="5F8D34DE" w14:textId="77777777" w:rsidR="009A6CFA" w:rsidRDefault="009A6CFA" w:rsidP="009A6CF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4" w:history="1">
        <w:r w:rsidRPr="005F425E">
          <w:rPr>
            <w:rStyle w:val="Hyperlink"/>
            <w:rFonts w:ascii="Arial" w:hAnsi="Arial" w:cs="Arial"/>
            <w:bCs/>
            <w:sz w:val="20"/>
            <w:szCs w:val="20"/>
          </w:rPr>
          <w:t>https://rbi.org.in/Scripts/NotificationUser.aspx?Id=12486&amp;Mode=0</w:t>
        </w:r>
      </w:hyperlink>
    </w:p>
    <w:p w14:paraId="648EBD17" w14:textId="77777777" w:rsidR="009A6CFA" w:rsidRDefault="009A6CFA" w:rsidP="009A6CFA">
      <w:pPr>
        <w:rPr>
          <w:lang w:val="en-US"/>
        </w:rPr>
      </w:pPr>
    </w:p>
    <w:p w14:paraId="5D174C75" w14:textId="77777777" w:rsidR="009A6CFA" w:rsidRDefault="009A6CFA" w:rsidP="009A6CFA">
      <w:pPr>
        <w:rPr>
          <w:lang w:val="en-US"/>
        </w:rPr>
      </w:pPr>
    </w:p>
    <w:p w14:paraId="7901A603" w14:textId="77777777" w:rsidR="009A6CFA" w:rsidRDefault="009A6CFA" w:rsidP="009A6CFA">
      <w:pPr>
        <w:rPr>
          <w:lang w:val="en-US"/>
        </w:rPr>
      </w:pPr>
    </w:p>
    <w:p w14:paraId="0B0D27D0" w14:textId="77777777" w:rsidR="009A6CFA" w:rsidRDefault="009A6CFA" w:rsidP="009A6CFA">
      <w:pPr>
        <w:pStyle w:val="NormalWeb"/>
        <w:rPr>
          <w:rFonts w:ascii="Arial" w:hAnsi="Arial" w:cs="Arial"/>
          <w:b/>
          <w:bCs/>
          <w:color w:val="000000"/>
          <w:sz w:val="20"/>
          <w:szCs w:val="20"/>
        </w:rPr>
      </w:pPr>
      <w:bookmarkStart w:id="25" w:name="OLE_LINK56"/>
      <w:bookmarkStart w:id="26" w:name="_Hlk141825172"/>
      <w:r>
        <w:rPr>
          <w:rFonts w:ascii="Arial" w:hAnsi="Arial" w:cs="Arial"/>
          <w:b/>
          <w:bCs/>
          <w:color w:val="000000"/>
          <w:sz w:val="20"/>
          <w:szCs w:val="20"/>
        </w:rPr>
        <w:lastRenderedPageBreak/>
        <w:t>Framework for acceptance of Green Deposits</w:t>
      </w:r>
    </w:p>
    <w:bookmarkEnd w:id="25"/>
    <w:p w14:paraId="12BD1428"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RBI/2023-24/14</w:t>
      </w:r>
      <w:r>
        <w:rPr>
          <w:rFonts w:ascii="Arial" w:hAnsi="Arial" w:cs="Arial"/>
          <w:color w:val="000000"/>
          <w:sz w:val="20"/>
          <w:szCs w:val="20"/>
        </w:rPr>
        <w:br/>
        <w:t>DOR.SFG.REC.10/30.01.021/2023-24</w:t>
      </w:r>
    </w:p>
    <w:p w14:paraId="7ABB01D8"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April 11, 2023</w:t>
      </w:r>
    </w:p>
    <w:p w14:paraId="7342A7F6"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All Scheduled Commercial Banks including Small Finance Banks</w:t>
      </w:r>
      <w:r>
        <w:rPr>
          <w:rFonts w:ascii="Arial" w:hAnsi="Arial" w:cs="Arial"/>
          <w:color w:val="000000"/>
          <w:sz w:val="20"/>
          <w:szCs w:val="20"/>
        </w:rPr>
        <w:br/>
        <w:t>(excluding Regional Rural Banks, Local Area Banks and Payments Banks)</w:t>
      </w:r>
      <w:r>
        <w:rPr>
          <w:rFonts w:ascii="Arial" w:hAnsi="Arial" w:cs="Arial"/>
          <w:color w:val="000000"/>
          <w:sz w:val="20"/>
          <w:szCs w:val="20"/>
        </w:rPr>
        <w:br/>
        <w:t>All Deposit taking Non-Banking Finance Companies (NBFCs) including Housing Finance Companies (HFCs)</w:t>
      </w:r>
    </w:p>
    <w:p w14:paraId="5F32892B"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Madam/Dear Sir,</w:t>
      </w:r>
    </w:p>
    <w:p w14:paraId="30C519C1"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Framework for acceptance of Green Deposits</w:t>
      </w:r>
    </w:p>
    <w:p w14:paraId="1479C081"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Climate change has been recognised as one of the most critical challenges faced by the global society and economy in the 21st century. The financial sector can play a pivotal role in mobilizing resources and their allocation thereof in green activities/projects. Green finance is also progressively gaining traction in India.</w:t>
      </w:r>
    </w:p>
    <w:p w14:paraId="1DDAE1F8"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2. Deposits constitute a major source for mobilizing of funds by the Regulated Entities (REs). It is seen that some REs are already offering green deposits for financing green activities and projects. Taking this forward and with a view to fostering and developing green finance ecosystem in the country, it has been decided to put in place the enclosed </w:t>
      </w:r>
      <w:hyperlink r:id="rId45" w:anchor="GD" w:history="1">
        <w:r>
          <w:rPr>
            <w:rStyle w:val="Hyperlink"/>
            <w:rFonts w:ascii="Arial" w:hAnsi="Arial" w:cs="Arial"/>
            <w:sz w:val="20"/>
            <w:szCs w:val="20"/>
          </w:rPr>
          <w:t>Framework for acceptance of Green Deposits</w:t>
        </w:r>
      </w:hyperlink>
      <w:r>
        <w:rPr>
          <w:rFonts w:ascii="Arial" w:hAnsi="Arial" w:cs="Arial"/>
          <w:color w:val="000000"/>
          <w:sz w:val="20"/>
          <w:szCs w:val="20"/>
        </w:rPr>
        <w:t xml:space="preserve"> for the </w:t>
      </w:r>
      <w:proofErr w:type="spellStart"/>
      <w:r>
        <w:rPr>
          <w:rFonts w:ascii="Arial" w:hAnsi="Arial" w:cs="Arial"/>
          <w:color w:val="000000"/>
          <w:sz w:val="20"/>
          <w:szCs w:val="20"/>
        </w:rPr>
        <w:t>REs.</w:t>
      </w:r>
      <w:proofErr w:type="spellEnd"/>
    </w:p>
    <w:p w14:paraId="711B970C"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3.</w:t>
      </w:r>
      <w:r>
        <w:rPr>
          <w:rStyle w:val="Strong"/>
          <w:rFonts w:ascii="Arial" w:hAnsi="Arial" w:cs="Arial"/>
          <w:color w:val="000000"/>
          <w:sz w:val="20"/>
          <w:szCs w:val="20"/>
        </w:rPr>
        <w:t> </w:t>
      </w:r>
      <w:r>
        <w:rPr>
          <w:rFonts w:ascii="Arial" w:hAnsi="Arial" w:cs="Arial"/>
          <w:color w:val="000000"/>
          <w:sz w:val="20"/>
          <w:szCs w:val="20"/>
        </w:rPr>
        <w:t>The framework shall come into effect from June 1, 2023.</w:t>
      </w:r>
    </w:p>
    <w:p w14:paraId="4A7E8ACA"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Yours faithfully,</w:t>
      </w:r>
    </w:p>
    <w:p w14:paraId="739F42B8"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14:paraId="3FCF76CB" w14:textId="77777777" w:rsidR="009A6CFA" w:rsidRDefault="009A6CFA" w:rsidP="009A6CFA">
      <w:pPr>
        <w:pStyle w:val="NormalWeb"/>
        <w:rPr>
          <w:rFonts w:ascii="Arial" w:hAnsi="Arial" w:cs="Arial"/>
          <w:bCs/>
          <w:color w:val="000000"/>
          <w:sz w:val="20"/>
          <w:szCs w:val="20"/>
        </w:rPr>
      </w:pPr>
    </w:p>
    <w:p w14:paraId="150D1D98" w14:textId="77777777" w:rsidR="009A6CFA" w:rsidRDefault="009A6CFA" w:rsidP="009A6CFA">
      <w:pPr>
        <w:spacing w:after="0"/>
      </w:pPr>
      <w:r>
        <w:t>More details can be referred to in the below link.</w:t>
      </w:r>
    </w:p>
    <w:p w14:paraId="33350D83" w14:textId="77777777" w:rsidR="009A6CFA" w:rsidRDefault="009A6CFA" w:rsidP="009A6CF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6" w:history="1">
        <w:r w:rsidRPr="005F425E">
          <w:rPr>
            <w:rStyle w:val="Hyperlink"/>
            <w:rFonts w:ascii="Arial" w:hAnsi="Arial" w:cs="Arial"/>
            <w:bCs/>
            <w:sz w:val="20"/>
            <w:szCs w:val="20"/>
          </w:rPr>
          <w:t>https://rbi.org.in/Scripts/NotificationUser.aspx?Id=12487&amp;Mode=0</w:t>
        </w:r>
      </w:hyperlink>
    </w:p>
    <w:p w14:paraId="15542466" w14:textId="77777777" w:rsidR="009A6CFA" w:rsidRDefault="009A6CFA" w:rsidP="009A6CFA">
      <w:pPr>
        <w:pStyle w:val="NormalWeb"/>
        <w:rPr>
          <w:rFonts w:ascii="Arial" w:hAnsi="Arial" w:cs="Arial"/>
          <w:bCs/>
          <w:color w:val="000000"/>
          <w:sz w:val="20"/>
          <w:szCs w:val="20"/>
        </w:rPr>
      </w:pPr>
    </w:p>
    <w:p w14:paraId="58050D4F" w14:textId="77777777" w:rsidR="009A6CFA" w:rsidRDefault="009A6CFA" w:rsidP="009A6CFA">
      <w:pPr>
        <w:pStyle w:val="NormalWeb"/>
        <w:rPr>
          <w:rFonts w:ascii="Arial" w:hAnsi="Arial" w:cs="Arial"/>
          <w:bCs/>
          <w:color w:val="000000"/>
          <w:sz w:val="20"/>
          <w:szCs w:val="20"/>
        </w:rPr>
      </w:pPr>
    </w:p>
    <w:p w14:paraId="54DC68A3" w14:textId="77777777" w:rsidR="009A6CFA" w:rsidRDefault="009A6CFA" w:rsidP="009A6CFA">
      <w:pPr>
        <w:pStyle w:val="NormalWeb"/>
        <w:rPr>
          <w:rFonts w:ascii="Arial" w:hAnsi="Arial" w:cs="Arial"/>
          <w:bCs/>
          <w:color w:val="000000"/>
          <w:sz w:val="20"/>
          <w:szCs w:val="20"/>
        </w:rPr>
      </w:pPr>
    </w:p>
    <w:p w14:paraId="26A7265C" w14:textId="77777777" w:rsidR="009A6CFA" w:rsidRDefault="009A6CFA" w:rsidP="009A6CFA">
      <w:pPr>
        <w:pStyle w:val="NormalWeb"/>
        <w:rPr>
          <w:rFonts w:ascii="Arial" w:hAnsi="Arial" w:cs="Arial"/>
          <w:bCs/>
          <w:color w:val="000000"/>
          <w:sz w:val="20"/>
          <w:szCs w:val="20"/>
        </w:rPr>
      </w:pPr>
    </w:p>
    <w:p w14:paraId="75775589" w14:textId="77777777" w:rsidR="009A6CFA" w:rsidRDefault="009A6CFA" w:rsidP="009A6CFA">
      <w:pPr>
        <w:pStyle w:val="NormalWeb"/>
        <w:rPr>
          <w:rFonts w:ascii="Arial" w:hAnsi="Arial" w:cs="Arial"/>
          <w:bCs/>
          <w:color w:val="000000"/>
          <w:sz w:val="20"/>
          <w:szCs w:val="20"/>
        </w:rPr>
      </w:pPr>
    </w:p>
    <w:p w14:paraId="7E1958DC" w14:textId="77777777" w:rsidR="009A6CFA" w:rsidRDefault="009A6CFA" w:rsidP="009A6CFA">
      <w:pPr>
        <w:pStyle w:val="NormalWeb"/>
        <w:rPr>
          <w:rFonts w:ascii="Arial" w:hAnsi="Arial" w:cs="Arial"/>
          <w:bCs/>
          <w:color w:val="000000"/>
          <w:sz w:val="20"/>
          <w:szCs w:val="20"/>
        </w:rPr>
      </w:pPr>
    </w:p>
    <w:p w14:paraId="2D72E5EF" w14:textId="77777777" w:rsidR="009A6CFA" w:rsidRDefault="009A6CFA" w:rsidP="009A6CFA">
      <w:pPr>
        <w:pStyle w:val="NormalWeb"/>
        <w:rPr>
          <w:rFonts w:ascii="Arial" w:hAnsi="Arial" w:cs="Arial"/>
          <w:bCs/>
          <w:color w:val="000000"/>
          <w:sz w:val="20"/>
          <w:szCs w:val="20"/>
        </w:rPr>
      </w:pPr>
    </w:p>
    <w:p w14:paraId="2BEBDEF6" w14:textId="77777777" w:rsidR="009A6CFA" w:rsidRDefault="009A6CFA" w:rsidP="009A6CFA">
      <w:pPr>
        <w:pStyle w:val="NormalWeb"/>
        <w:rPr>
          <w:rFonts w:ascii="Arial" w:hAnsi="Arial" w:cs="Arial"/>
          <w:bCs/>
          <w:color w:val="000000"/>
          <w:sz w:val="20"/>
          <w:szCs w:val="20"/>
        </w:rPr>
      </w:pPr>
    </w:p>
    <w:p w14:paraId="52FBE90F" w14:textId="77777777" w:rsidR="009A6CFA" w:rsidRDefault="009A6CFA" w:rsidP="009A6CFA">
      <w:pPr>
        <w:pStyle w:val="NormalWeb"/>
        <w:rPr>
          <w:rFonts w:ascii="Arial" w:hAnsi="Arial" w:cs="Arial"/>
          <w:b/>
          <w:bCs/>
          <w:color w:val="000000"/>
          <w:sz w:val="20"/>
          <w:szCs w:val="20"/>
        </w:rPr>
      </w:pPr>
      <w:bookmarkStart w:id="27" w:name="_Hlk141826365"/>
      <w:bookmarkEnd w:id="26"/>
      <w:r>
        <w:rPr>
          <w:rFonts w:ascii="Arial" w:hAnsi="Arial" w:cs="Arial"/>
          <w:b/>
          <w:bCs/>
          <w:color w:val="000000"/>
          <w:sz w:val="20"/>
          <w:szCs w:val="20"/>
        </w:rPr>
        <w:lastRenderedPageBreak/>
        <w:t>Master Circular- Prudential Norms on Capital Adequacy - Primary (Urban) Co-operative Banks (UCBs)</w:t>
      </w:r>
    </w:p>
    <w:p w14:paraId="2528BE5D"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RBI/2023-24/17</w:t>
      </w:r>
      <w:r>
        <w:rPr>
          <w:rFonts w:ascii="Arial" w:hAnsi="Arial" w:cs="Arial"/>
          <w:color w:val="000000"/>
          <w:sz w:val="20"/>
          <w:szCs w:val="20"/>
        </w:rPr>
        <w:br/>
        <w:t>DOR.CAP.REC.11/09.18.201/2023-24</w:t>
      </w:r>
    </w:p>
    <w:p w14:paraId="271BCE6D"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April 20, 2023</w:t>
      </w:r>
    </w:p>
    <w:p w14:paraId="70CB00DD"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14:paraId="36ED1340"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Dear Sir / Madam,</w:t>
      </w:r>
    </w:p>
    <w:p w14:paraId="4008468E"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Master Circular - Prudential Norms on Capital Adequacy - Primary (Urban) Co-operative Banks (UCBs)</w:t>
      </w:r>
    </w:p>
    <w:p w14:paraId="18879A4B"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47" w:tgtFrame="_blank" w:history="1">
        <w:r>
          <w:rPr>
            <w:rStyle w:val="Hyperlink"/>
            <w:rFonts w:ascii="Arial" w:hAnsi="Arial" w:cs="Arial"/>
            <w:sz w:val="20"/>
            <w:szCs w:val="20"/>
          </w:rPr>
          <w:t>Master Circular DOR.CAP.REC.2/09.18.201/2022-23 dated April 1, 2022</w:t>
        </w:r>
      </w:hyperlink>
      <w:r>
        <w:rPr>
          <w:rFonts w:ascii="Arial" w:hAnsi="Arial" w:cs="Arial"/>
          <w:color w:val="000000"/>
          <w:sz w:val="20"/>
          <w:szCs w:val="20"/>
        </w:rPr>
        <w:t> on the captioned subject.</w:t>
      </w:r>
    </w:p>
    <w:p w14:paraId="2536E785"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2. The enclosed </w:t>
      </w:r>
      <w:hyperlink r:id="rId48"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up to April 19, 2023 as listed in the </w:t>
      </w:r>
      <w:hyperlink r:id="rId49" w:anchor="APP" w:history="1">
        <w:r>
          <w:rPr>
            <w:rStyle w:val="Hyperlink"/>
            <w:rFonts w:ascii="Arial" w:hAnsi="Arial" w:cs="Arial"/>
            <w:sz w:val="20"/>
            <w:szCs w:val="20"/>
          </w:rPr>
          <w:t>Appendix</w:t>
        </w:r>
      </w:hyperlink>
      <w:r>
        <w:rPr>
          <w:rFonts w:ascii="Arial" w:hAnsi="Arial" w:cs="Arial"/>
          <w:color w:val="000000"/>
          <w:sz w:val="20"/>
          <w:szCs w:val="20"/>
        </w:rPr>
        <w:t>.</w:t>
      </w:r>
    </w:p>
    <w:p w14:paraId="465C9C9A"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Yours faithfully</w:t>
      </w:r>
    </w:p>
    <w:p w14:paraId="69F09E21"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4EEF3E31" w14:textId="77777777" w:rsidR="009A6CFA" w:rsidRDefault="009A6CFA" w:rsidP="009A6CFA">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4B31AE59" w14:textId="77777777" w:rsidR="009A6CFA" w:rsidRDefault="009A6CFA" w:rsidP="009A6CFA">
      <w:pPr>
        <w:pStyle w:val="NormalWeb"/>
        <w:rPr>
          <w:rFonts w:ascii="Arial" w:hAnsi="Arial" w:cs="Arial"/>
          <w:bCs/>
          <w:color w:val="000000"/>
          <w:sz w:val="20"/>
          <w:szCs w:val="20"/>
        </w:rPr>
      </w:pPr>
    </w:p>
    <w:p w14:paraId="4BFA7049" w14:textId="77777777" w:rsidR="009A6CFA" w:rsidRDefault="009A6CFA" w:rsidP="009A6CFA">
      <w:pPr>
        <w:pStyle w:val="NormalWeb"/>
        <w:rPr>
          <w:rFonts w:ascii="Arial" w:hAnsi="Arial" w:cs="Arial"/>
          <w:bCs/>
          <w:color w:val="000000"/>
          <w:sz w:val="20"/>
          <w:szCs w:val="20"/>
        </w:rPr>
      </w:pPr>
    </w:p>
    <w:p w14:paraId="61B28632" w14:textId="77777777" w:rsidR="009A6CFA" w:rsidRDefault="009A6CFA" w:rsidP="009A6CFA">
      <w:pPr>
        <w:spacing w:after="0"/>
      </w:pPr>
      <w:r>
        <w:t>More details can be referred to in the below link.</w:t>
      </w:r>
    </w:p>
    <w:p w14:paraId="18D318AA" w14:textId="77777777" w:rsidR="009A6CFA" w:rsidRDefault="009A6CFA" w:rsidP="009A6CF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0" w:history="1">
        <w:r w:rsidRPr="005F425E">
          <w:rPr>
            <w:rStyle w:val="Hyperlink"/>
            <w:rFonts w:ascii="Arial" w:hAnsi="Arial" w:cs="Arial"/>
            <w:bCs/>
            <w:sz w:val="20"/>
            <w:szCs w:val="20"/>
          </w:rPr>
          <w:t>https://rbi.org.in/Scripts/NotificationUser.aspx?Id=12490&amp;Mode=0</w:t>
        </w:r>
      </w:hyperlink>
    </w:p>
    <w:p w14:paraId="7565E5D4" w14:textId="77777777" w:rsidR="009A6CFA" w:rsidRDefault="009A6CFA" w:rsidP="009A6CFA">
      <w:pPr>
        <w:pStyle w:val="NormalWeb"/>
        <w:rPr>
          <w:rFonts w:ascii="Arial" w:hAnsi="Arial" w:cs="Arial"/>
          <w:bCs/>
          <w:color w:val="000000"/>
          <w:sz w:val="20"/>
          <w:szCs w:val="20"/>
        </w:rPr>
      </w:pPr>
    </w:p>
    <w:p w14:paraId="612EFF6F" w14:textId="77777777" w:rsidR="009A6CFA" w:rsidRDefault="009A6CFA" w:rsidP="009A6CFA">
      <w:pPr>
        <w:pStyle w:val="NormalWeb"/>
        <w:rPr>
          <w:rFonts w:ascii="Arial" w:hAnsi="Arial" w:cs="Arial"/>
          <w:bCs/>
          <w:color w:val="000000"/>
          <w:sz w:val="20"/>
          <w:szCs w:val="20"/>
        </w:rPr>
      </w:pPr>
    </w:p>
    <w:p w14:paraId="630A2442" w14:textId="77777777" w:rsidR="009A6CFA" w:rsidRDefault="009A6CFA" w:rsidP="009A6CFA">
      <w:pPr>
        <w:pStyle w:val="NormalWeb"/>
        <w:rPr>
          <w:rFonts w:ascii="Arial" w:hAnsi="Arial" w:cs="Arial"/>
          <w:bCs/>
          <w:color w:val="000000"/>
          <w:sz w:val="20"/>
          <w:szCs w:val="20"/>
        </w:rPr>
      </w:pPr>
    </w:p>
    <w:p w14:paraId="171DD723" w14:textId="77777777" w:rsidR="009A6CFA" w:rsidRDefault="009A6CFA" w:rsidP="009A6CFA">
      <w:pPr>
        <w:pStyle w:val="NormalWeb"/>
        <w:rPr>
          <w:rFonts w:ascii="Arial" w:hAnsi="Arial" w:cs="Arial"/>
          <w:color w:val="000000"/>
          <w:sz w:val="20"/>
          <w:szCs w:val="20"/>
        </w:rPr>
      </w:pPr>
    </w:p>
    <w:p w14:paraId="6ED3276A" w14:textId="77777777" w:rsidR="009A6CFA" w:rsidRDefault="009A6CFA" w:rsidP="009A6CFA">
      <w:pPr>
        <w:pStyle w:val="NormalWeb"/>
        <w:rPr>
          <w:rFonts w:ascii="Arial" w:hAnsi="Arial" w:cs="Arial"/>
          <w:color w:val="000000"/>
          <w:sz w:val="20"/>
          <w:szCs w:val="20"/>
        </w:rPr>
      </w:pPr>
    </w:p>
    <w:p w14:paraId="359BF536" w14:textId="77777777" w:rsidR="009A6CFA" w:rsidRDefault="009A6CFA" w:rsidP="009A6CFA">
      <w:pPr>
        <w:pStyle w:val="NormalWeb"/>
        <w:rPr>
          <w:rFonts w:ascii="Arial" w:hAnsi="Arial" w:cs="Arial"/>
          <w:color w:val="000000"/>
          <w:sz w:val="20"/>
          <w:szCs w:val="20"/>
        </w:rPr>
      </w:pPr>
    </w:p>
    <w:p w14:paraId="3B1ADB14" w14:textId="77777777" w:rsidR="009A6CFA" w:rsidRDefault="009A6CFA" w:rsidP="009A6CFA">
      <w:pPr>
        <w:pStyle w:val="NormalWeb"/>
        <w:rPr>
          <w:rFonts w:ascii="Arial" w:hAnsi="Arial" w:cs="Arial"/>
          <w:color w:val="000000"/>
          <w:sz w:val="20"/>
          <w:szCs w:val="20"/>
        </w:rPr>
      </w:pPr>
    </w:p>
    <w:p w14:paraId="10536C87" w14:textId="77777777" w:rsidR="009A6CFA" w:rsidRDefault="009A6CFA" w:rsidP="009A6CFA">
      <w:pPr>
        <w:pStyle w:val="NormalWeb"/>
        <w:rPr>
          <w:rFonts w:ascii="Arial" w:hAnsi="Arial" w:cs="Arial"/>
          <w:color w:val="000000"/>
          <w:sz w:val="20"/>
          <w:szCs w:val="20"/>
        </w:rPr>
      </w:pPr>
    </w:p>
    <w:bookmarkEnd w:id="27"/>
    <w:p w14:paraId="023C681E" w14:textId="77777777" w:rsidR="009A6CFA" w:rsidRDefault="009A6CFA" w:rsidP="009A6CFA">
      <w:pPr>
        <w:rPr>
          <w:lang w:val="en-US"/>
        </w:rPr>
      </w:pPr>
    </w:p>
    <w:p w14:paraId="2621FB7B" w14:textId="77777777" w:rsidR="009A6CFA" w:rsidRDefault="009A6CFA" w:rsidP="009A6CFA">
      <w:pPr>
        <w:rPr>
          <w:lang w:val="en-US"/>
        </w:rPr>
      </w:pPr>
    </w:p>
    <w:p w14:paraId="2021EE5F" w14:textId="77777777" w:rsidR="009A6CFA" w:rsidRDefault="009A6CFA" w:rsidP="009A6CFA">
      <w:pPr>
        <w:pStyle w:val="NormalWeb"/>
        <w:rPr>
          <w:rFonts w:ascii="Arial" w:hAnsi="Arial" w:cs="Arial"/>
          <w:b/>
          <w:bCs/>
          <w:color w:val="000000"/>
          <w:sz w:val="20"/>
          <w:szCs w:val="20"/>
        </w:rPr>
      </w:pPr>
      <w:r>
        <w:rPr>
          <w:rFonts w:ascii="Arial" w:hAnsi="Arial" w:cs="Arial"/>
          <w:b/>
          <w:bCs/>
          <w:color w:val="000000"/>
          <w:sz w:val="20"/>
          <w:szCs w:val="20"/>
        </w:rPr>
        <w:lastRenderedPageBreak/>
        <w:t>Provisioning for standard assets by primary (Urban) co-operative banks – revised norms under four-tiered regulatory framework</w:t>
      </w:r>
    </w:p>
    <w:p w14:paraId="50C2725A" w14:textId="77777777" w:rsidR="009A6CFA" w:rsidRDefault="009A6CFA" w:rsidP="009A6CFA">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RBI/2023-24/18</w:t>
      </w:r>
      <w:r>
        <w:rPr>
          <w:rFonts w:ascii="Arial" w:hAnsi="Arial" w:cs="Arial"/>
          <w:color w:val="000000"/>
          <w:sz w:val="20"/>
          <w:szCs w:val="20"/>
        </w:rPr>
        <w:br/>
        <w:t>DOR.STR.REC.12/21.04.048/2023-24</w:t>
      </w:r>
    </w:p>
    <w:p w14:paraId="4EA9CE3F" w14:textId="77777777" w:rsidR="009A6CFA" w:rsidRDefault="009A6CFA" w:rsidP="009A6CFA">
      <w:pPr>
        <w:pStyle w:val="NormalWeb"/>
        <w:spacing w:before="0" w:beforeAutospacing="0"/>
        <w:jc w:val="right"/>
        <w:rPr>
          <w:rFonts w:ascii="Arial" w:hAnsi="Arial" w:cs="Arial"/>
          <w:color w:val="000000"/>
          <w:sz w:val="20"/>
          <w:szCs w:val="20"/>
        </w:rPr>
      </w:pPr>
      <w:r>
        <w:rPr>
          <w:rFonts w:ascii="Arial" w:hAnsi="Arial" w:cs="Arial"/>
          <w:color w:val="000000"/>
          <w:sz w:val="20"/>
          <w:szCs w:val="20"/>
        </w:rPr>
        <w:t>April 24, 2023</w:t>
      </w:r>
    </w:p>
    <w:p w14:paraId="635A21C6" w14:textId="77777777" w:rsidR="009A6CFA" w:rsidRDefault="009A6CFA" w:rsidP="009A6CFA">
      <w:pPr>
        <w:pStyle w:val="NormalWeb"/>
        <w:spacing w:after="0" w:afterAutospacing="0"/>
        <w:jc w:val="both"/>
        <w:rPr>
          <w:rFonts w:ascii="Arial" w:hAnsi="Arial" w:cs="Arial"/>
          <w:color w:val="000000"/>
          <w:sz w:val="20"/>
          <w:szCs w:val="20"/>
        </w:rPr>
      </w:pPr>
      <w:r>
        <w:rPr>
          <w:rFonts w:ascii="Arial" w:hAnsi="Arial" w:cs="Arial"/>
          <w:color w:val="000000"/>
          <w:sz w:val="20"/>
          <w:szCs w:val="20"/>
        </w:rPr>
        <w:t>All Primary (Urban) Co-operative Banks,</w:t>
      </w:r>
    </w:p>
    <w:p w14:paraId="13CE8F6F"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Madam / Dear Sir,</w:t>
      </w:r>
    </w:p>
    <w:p w14:paraId="76615B61"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Provisioning for standard assets by primary (Urban) co-operative banks – revised norms under four-tiered regulatory framework</w:t>
      </w:r>
    </w:p>
    <w:p w14:paraId="0FFB9213"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Please refer to </w:t>
      </w:r>
      <w:hyperlink r:id="rId51" w:tgtFrame="_blank" w:history="1">
        <w:r>
          <w:rPr>
            <w:rStyle w:val="Hyperlink"/>
            <w:rFonts w:ascii="Arial" w:hAnsi="Arial" w:cs="Arial"/>
            <w:sz w:val="20"/>
            <w:szCs w:val="20"/>
          </w:rPr>
          <w:t>circular DOR.REG.No.84/07.01.000/2022-23 dated December 01, 2022</w:t>
        </w:r>
      </w:hyperlink>
      <w:r>
        <w:rPr>
          <w:rFonts w:ascii="Arial" w:hAnsi="Arial" w:cs="Arial"/>
          <w:color w:val="000000"/>
          <w:sz w:val="20"/>
          <w:szCs w:val="20"/>
        </w:rPr>
        <w:t>, in terms of which Urban Co-operative Banks (UCBs) have been categorized into four Tiers namely Tier 1, Tier 2, Tier 3 and Tier 4 for regulatory purposes.</w:t>
      </w:r>
    </w:p>
    <w:p w14:paraId="411FA3DE"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2. The current standard assets provisioning norms for UCBs, consolidated in the </w:t>
      </w:r>
      <w:hyperlink r:id="rId52" w:tgtFrame="_blank" w:history="1">
        <w:r>
          <w:rPr>
            <w:rStyle w:val="Hyperlink"/>
            <w:rFonts w:ascii="Arial" w:hAnsi="Arial" w:cs="Arial"/>
            <w:sz w:val="20"/>
            <w:szCs w:val="20"/>
          </w:rPr>
          <w:t>Master Circular DOR.STR.REC.5/21.04.048/2022-23 dated April 01, 2022</w:t>
        </w:r>
      </w:hyperlink>
      <w:r>
        <w:rPr>
          <w:rFonts w:ascii="Arial" w:hAnsi="Arial" w:cs="Arial"/>
          <w:color w:val="000000"/>
          <w:sz w:val="20"/>
          <w:szCs w:val="20"/>
        </w:rPr>
        <w:t>, are based on the earlier categorization of UCBs into Tier I and Tier II as defined in para 4 of </w:t>
      </w:r>
      <w:hyperlink r:id="rId53" w:tgtFrame="_blank" w:history="1">
        <w:r>
          <w:rPr>
            <w:rStyle w:val="Hyperlink"/>
            <w:rFonts w:ascii="Arial" w:hAnsi="Arial" w:cs="Arial"/>
            <w:sz w:val="20"/>
            <w:szCs w:val="20"/>
          </w:rPr>
          <w:t>circular UBD.CO.LS.Cir.No.66/07.01.000/2008-09 dated May 06, 2009</w:t>
        </w:r>
      </w:hyperlink>
      <w:r>
        <w:rPr>
          <w:rFonts w:ascii="Arial" w:hAnsi="Arial" w:cs="Arial"/>
          <w:color w:val="000000"/>
          <w:sz w:val="20"/>
          <w:szCs w:val="20"/>
        </w:rPr>
        <w:t>, as given below:</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5528"/>
        <w:gridCol w:w="993"/>
        <w:gridCol w:w="1134"/>
      </w:tblGrid>
      <w:tr w:rsidR="009A6CFA" w14:paraId="3E59692E" w14:textId="77777777" w:rsidTr="00781F9A">
        <w:tc>
          <w:tcPr>
            <w:tcW w:w="497" w:type="pct"/>
            <w:vMerge w:val="restart"/>
            <w:tcMar>
              <w:top w:w="0" w:type="dxa"/>
              <w:left w:w="45" w:type="dxa"/>
              <w:bottom w:w="0" w:type="dxa"/>
              <w:right w:w="45" w:type="dxa"/>
            </w:tcMar>
            <w:vAlign w:val="center"/>
            <w:hideMark/>
          </w:tcPr>
          <w:p w14:paraId="75DE41A1" w14:textId="77777777" w:rsidR="009A6CFA" w:rsidRDefault="009A6CFA" w:rsidP="00781F9A">
            <w:pPr>
              <w:jc w:val="center"/>
              <w:rPr>
                <w:rFonts w:ascii="Arial" w:hAnsi="Arial" w:cs="Arial"/>
                <w:color w:val="000000"/>
                <w:sz w:val="20"/>
                <w:szCs w:val="20"/>
              </w:rPr>
            </w:pPr>
            <w:r>
              <w:rPr>
                <w:rStyle w:val="head1"/>
                <w:rFonts w:ascii="Arial" w:hAnsi="Arial" w:cs="Arial"/>
                <w:b/>
                <w:bCs/>
                <w:color w:val="000000"/>
                <w:sz w:val="20"/>
                <w:szCs w:val="20"/>
              </w:rPr>
              <w:t>Sl. No.</w:t>
            </w:r>
          </w:p>
        </w:tc>
        <w:tc>
          <w:tcPr>
            <w:tcW w:w="3252" w:type="pct"/>
            <w:vMerge w:val="restart"/>
            <w:tcMar>
              <w:top w:w="0" w:type="dxa"/>
              <w:left w:w="45" w:type="dxa"/>
              <w:bottom w:w="0" w:type="dxa"/>
              <w:right w:w="45" w:type="dxa"/>
            </w:tcMar>
            <w:vAlign w:val="center"/>
            <w:hideMark/>
          </w:tcPr>
          <w:p w14:paraId="6A88B05A" w14:textId="77777777" w:rsidR="009A6CFA" w:rsidRDefault="009A6CFA" w:rsidP="00781F9A">
            <w:pPr>
              <w:spacing w:after="0"/>
              <w:jc w:val="center"/>
              <w:rPr>
                <w:rFonts w:ascii="Arial" w:hAnsi="Arial" w:cs="Arial"/>
                <w:color w:val="000000"/>
                <w:sz w:val="20"/>
                <w:szCs w:val="20"/>
              </w:rPr>
            </w:pPr>
            <w:r>
              <w:rPr>
                <w:rStyle w:val="head1"/>
                <w:rFonts w:ascii="Arial" w:hAnsi="Arial" w:cs="Arial"/>
                <w:b/>
                <w:bCs/>
                <w:color w:val="000000"/>
                <w:sz w:val="20"/>
                <w:szCs w:val="20"/>
              </w:rPr>
              <w:t>Category of Standard Asset</w:t>
            </w:r>
          </w:p>
        </w:tc>
        <w:tc>
          <w:tcPr>
            <w:tcW w:w="1251" w:type="pct"/>
            <w:gridSpan w:val="2"/>
            <w:tcMar>
              <w:top w:w="0" w:type="dxa"/>
              <w:left w:w="45" w:type="dxa"/>
              <w:bottom w:w="0" w:type="dxa"/>
              <w:right w:w="45" w:type="dxa"/>
            </w:tcMar>
            <w:vAlign w:val="center"/>
            <w:hideMark/>
          </w:tcPr>
          <w:p w14:paraId="18E25812" w14:textId="77777777" w:rsidR="009A6CFA" w:rsidRDefault="009A6CFA" w:rsidP="00781F9A">
            <w:pPr>
              <w:jc w:val="center"/>
              <w:rPr>
                <w:rFonts w:ascii="Arial" w:hAnsi="Arial" w:cs="Arial"/>
                <w:color w:val="000000"/>
                <w:sz w:val="20"/>
                <w:szCs w:val="20"/>
              </w:rPr>
            </w:pPr>
            <w:r>
              <w:rPr>
                <w:rStyle w:val="head1"/>
                <w:rFonts w:ascii="Arial" w:hAnsi="Arial" w:cs="Arial"/>
                <w:b/>
                <w:bCs/>
                <w:color w:val="000000"/>
                <w:sz w:val="20"/>
                <w:szCs w:val="20"/>
              </w:rPr>
              <w:t>Rate of Provisioning</w:t>
            </w:r>
          </w:p>
        </w:tc>
      </w:tr>
      <w:tr w:rsidR="009A6CFA" w14:paraId="455FDFC4" w14:textId="77777777" w:rsidTr="00781F9A">
        <w:trPr>
          <w:trHeight w:val="162"/>
        </w:trPr>
        <w:tc>
          <w:tcPr>
            <w:tcW w:w="497" w:type="pct"/>
            <w:vMerge/>
            <w:vAlign w:val="center"/>
            <w:hideMark/>
          </w:tcPr>
          <w:p w14:paraId="0724DDDC" w14:textId="77777777" w:rsidR="009A6CFA" w:rsidRDefault="009A6CFA" w:rsidP="00781F9A">
            <w:pPr>
              <w:jc w:val="both"/>
              <w:rPr>
                <w:rFonts w:ascii="Arial" w:hAnsi="Arial" w:cs="Arial"/>
                <w:color w:val="000000"/>
                <w:sz w:val="20"/>
                <w:szCs w:val="20"/>
              </w:rPr>
            </w:pPr>
          </w:p>
        </w:tc>
        <w:tc>
          <w:tcPr>
            <w:tcW w:w="3252" w:type="pct"/>
            <w:vMerge/>
            <w:vAlign w:val="center"/>
            <w:hideMark/>
          </w:tcPr>
          <w:p w14:paraId="2C5FF3BA" w14:textId="77777777" w:rsidR="009A6CFA" w:rsidRDefault="009A6CFA" w:rsidP="00781F9A">
            <w:pPr>
              <w:jc w:val="both"/>
              <w:rPr>
                <w:rFonts w:ascii="Arial" w:hAnsi="Arial" w:cs="Arial"/>
                <w:color w:val="000000"/>
                <w:sz w:val="20"/>
                <w:szCs w:val="20"/>
              </w:rPr>
            </w:pPr>
          </w:p>
        </w:tc>
        <w:tc>
          <w:tcPr>
            <w:tcW w:w="584" w:type="pct"/>
            <w:tcMar>
              <w:top w:w="0" w:type="dxa"/>
              <w:left w:w="45" w:type="dxa"/>
              <w:bottom w:w="0" w:type="dxa"/>
              <w:right w:w="45" w:type="dxa"/>
            </w:tcMar>
            <w:vAlign w:val="center"/>
            <w:hideMark/>
          </w:tcPr>
          <w:p w14:paraId="7815DFE3" w14:textId="77777777" w:rsidR="009A6CFA" w:rsidRDefault="009A6CFA" w:rsidP="00781F9A">
            <w:pPr>
              <w:jc w:val="center"/>
              <w:rPr>
                <w:rFonts w:ascii="Arial" w:hAnsi="Arial" w:cs="Arial"/>
                <w:color w:val="000000"/>
                <w:sz w:val="20"/>
                <w:szCs w:val="20"/>
              </w:rPr>
            </w:pPr>
            <w:r>
              <w:rPr>
                <w:rStyle w:val="head1"/>
                <w:rFonts w:ascii="Arial" w:hAnsi="Arial" w:cs="Arial"/>
                <w:b/>
                <w:bCs/>
                <w:color w:val="000000"/>
                <w:sz w:val="20"/>
                <w:szCs w:val="20"/>
              </w:rPr>
              <w:t>Tier II</w:t>
            </w:r>
          </w:p>
        </w:tc>
        <w:tc>
          <w:tcPr>
            <w:tcW w:w="667" w:type="pct"/>
            <w:tcMar>
              <w:top w:w="0" w:type="dxa"/>
              <w:left w:w="45" w:type="dxa"/>
              <w:bottom w:w="0" w:type="dxa"/>
              <w:right w:w="45" w:type="dxa"/>
            </w:tcMar>
            <w:vAlign w:val="center"/>
            <w:hideMark/>
          </w:tcPr>
          <w:p w14:paraId="7A3B05F1" w14:textId="77777777" w:rsidR="009A6CFA" w:rsidRDefault="009A6CFA" w:rsidP="00781F9A">
            <w:pPr>
              <w:jc w:val="center"/>
              <w:rPr>
                <w:rFonts w:ascii="Arial" w:hAnsi="Arial" w:cs="Arial"/>
                <w:color w:val="000000"/>
                <w:sz w:val="20"/>
                <w:szCs w:val="20"/>
              </w:rPr>
            </w:pPr>
            <w:r>
              <w:rPr>
                <w:rStyle w:val="head1"/>
                <w:rFonts w:ascii="Arial" w:hAnsi="Arial" w:cs="Arial"/>
                <w:b/>
                <w:bCs/>
                <w:color w:val="000000"/>
                <w:sz w:val="20"/>
                <w:szCs w:val="20"/>
              </w:rPr>
              <w:t>Tier I</w:t>
            </w:r>
          </w:p>
        </w:tc>
      </w:tr>
      <w:tr w:rsidR="009A6CFA" w14:paraId="496C4BC3" w14:textId="77777777" w:rsidTr="00781F9A">
        <w:tc>
          <w:tcPr>
            <w:tcW w:w="497" w:type="pct"/>
            <w:tcMar>
              <w:top w:w="0" w:type="dxa"/>
              <w:left w:w="45" w:type="dxa"/>
              <w:bottom w:w="0" w:type="dxa"/>
              <w:right w:w="45" w:type="dxa"/>
            </w:tcMar>
            <w:vAlign w:val="center"/>
            <w:hideMark/>
          </w:tcPr>
          <w:p w14:paraId="0A184DBB"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(a)</w:t>
            </w:r>
          </w:p>
        </w:tc>
        <w:tc>
          <w:tcPr>
            <w:tcW w:w="3252" w:type="pct"/>
            <w:tcMar>
              <w:top w:w="0" w:type="dxa"/>
              <w:left w:w="45" w:type="dxa"/>
              <w:bottom w:w="0" w:type="dxa"/>
              <w:right w:w="45" w:type="dxa"/>
            </w:tcMar>
            <w:vAlign w:val="center"/>
            <w:hideMark/>
          </w:tcPr>
          <w:p w14:paraId="616AA525" w14:textId="77777777" w:rsidR="009A6CFA" w:rsidRDefault="009A6CFA" w:rsidP="00781F9A">
            <w:pPr>
              <w:jc w:val="both"/>
              <w:rPr>
                <w:rFonts w:ascii="Arial" w:hAnsi="Arial" w:cs="Arial"/>
                <w:color w:val="000000"/>
                <w:sz w:val="20"/>
                <w:szCs w:val="20"/>
              </w:rPr>
            </w:pPr>
            <w:r>
              <w:rPr>
                <w:rFonts w:ascii="Arial" w:hAnsi="Arial" w:cs="Arial"/>
                <w:color w:val="000000"/>
                <w:sz w:val="20"/>
                <w:szCs w:val="20"/>
              </w:rPr>
              <w:t>Direct advances to Agriculture and SME sectors</w:t>
            </w:r>
          </w:p>
        </w:tc>
        <w:tc>
          <w:tcPr>
            <w:tcW w:w="584" w:type="pct"/>
            <w:tcMar>
              <w:top w:w="0" w:type="dxa"/>
              <w:left w:w="45" w:type="dxa"/>
              <w:bottom w:w="0" w:type="dxa"/>
              <w:right w:w="45" w:type="dxa"/>
            </w:tcMar>
            <w:vAlign w:val="center"/>
            <w:hideMark/>
          </w:tcPr>
          <w:p w14:paraId="534E6EB5"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0.25%</w:t>
            </w:r>
          </w:p>
        </w:tc>
        <w:tc>
          <w:tcPr>
            <w:tcW w:w="667" w:type="pct"/>
            <w:tcMar>
              <w:top w:w="0" w:type="dxa"/>
              <w:left w:w="45" w:type="dxa"/>
              <w:bottom w:w="0" w:type="dxa"/>
              <w:right w:w="45" w:type="dxa"/>
            </w:tcMar>
            <w:vAlign w:val="center"/>
            <w:hideMark/>
          </w:tcPr>
          <w:p w14:paraId="02F9EFAC"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0.25%</w:t>
            </w:r>
          </w:p>
        </w:tc>
      </w:tr>
      <w:tr w:rsidR="009A6CFA" w14:paraId="1277DC7F" w14:textId="77777777" w:rsidTr="00781F9A">
        <w:tc>
          <w:tcPr>
            <w:tcW w:w="497" w:type="pct"/>
            <w:tcMar>
              <w:top w:w="0" w:type="dxa"/>
              <w:left w:w="45" w:type="dxa"/>
              <w:bottom w:w="0" w:type="dxa"/>
              <w:right w:w="45" w:type="dxa"/>
            </w:tcMar>
            <w:vAlign w:val="center"/>
            <w:hideMark/>
          </w:tcPr>
          <w:p w14:paraId="5AA34D1C"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(b)</w:t>
            </w:r>
          </w:p>
        </w:tc>
        <w:tc>
          <w:tcPr>
            <w:tcW w:w="3252" w:type="pct"/>
            <w:tcMar>
              <w:top w:w="0" w:type="dxa"/>
              <w:left w:w="45" w:type="dxa"/>
              <w:bottom w:w="0" w:type="dxa"/>
              <w:right w:w="45" w:type="dxa"/>
            </w:tcMar>
            <w:vAlign w:val="center"/>
            <w:hideMark/>
          </w:tcPr>
          <w:p w14:paraId="45D210C6" w14:textId="77777777" w:rsidR="009A6CFA" w:rsidRDefault="009A6CFA" w:rsidP="00781F9A">
            <w:pPr>
              <w:jc w:val="both"/>
              <w:rPr>
                <w:rFonts w:ascii="Arial" w:hAnsi="Arial" w:cs="Arial"/>
                <w:color w:val="000000"/>
                <w:sz w:val="20"/>
                <w:szCs w:val="20"/>
              </w:rPr>
            </w:pPr>
            <w:r>
              <w:rPr>
                <w:rFonts w:ascii="Arial" w:hAnsi="Arial" w:cs="Arial"/>
                <w:color w:val="000000"/>
                <w:sz w:val="20"/>
                <w:szCs w:val="20"/>
              </w:rPr>
              <w:t>Commercial Real Estate (CRE) sector</w:t>
            </w:r>
          </w:p>
        </w:tc>
        <w:tc>
          <w:tcPr>
            <w:tcW w:w="584" w:type="pct"/>
            <w:tcMar>
              <w:top w:w="0" w:type="dxa"/>
              <w:left w:w="45" w:type="dxa"/>
              <w:bottom w:w="0" w:type="dxa"/>
              <w:right w:w="45" w:type="dxa"/>
            </w:tcMar>
            <w:vAlign w:val="center"/>
            <w:hideMark/>
          </w:tcPr>
          <w:p w14:paraId="26DA6176"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1.00%</w:t>
            </w:r>
          </w:p>
        </w:tc>
        <w:tc>
          <w:tcPr>
            <w:tcW w:w="667" w:type="pct"/>
            <w:tcMar>
              <w:top w:w="0" w:type="dxa"/>
              <w:left w:w="45" w:type="dxa"/>
              <w:bottom w:w="0" w:type="dxa"/>
              <w:right w:w="45" w:type="dxa"/>
            </w:tcMar>
            <w:vAlign w:val="center"/>
            <w:hideMark/>
          </w:tcPr>
          <w:p w14:paraId="22D9A411"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1.00%</w:t>
            </w:r>
          </w:p>
        </w:tc>
      </w:tr>
      <w:tr w:rsidR="009A6CFA" w14:paraId="175E6193" w14:textId="77777777" w:rsidTr="00781F9A">
        <w:trPr>
          <w:trHeight w:val="374"/>
        </w:trPr>
        <w:tc>
          <w:tcPr>
            <w:tcW w:w="497" w:type="pct"/>
            <w:tcMar>
              <w:top w:w="0" w:type="dxa"/>
              <w:left w:w="45" w:type="dxa"/>
              <w:bottom w:w="0" w:type="dxa"/>
              <w:right w:w="45" w:type="dxa"/>
            </w:tcMar>
            <w:vAlign w:val="center"/>
            <w:hideMark/>
          </w:tcPr>
          <w:p w14:paraId="1B52B015"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(c)</w:t>
            </w:r>
          </w:p>
        </w:tc>
        <w:tc>
          <w:tcPr>
            <w:tcW w:w="3252" w:type="pct"/>
            <w:tcMar>
              <w:top w:w="0" w:type="dxa"/>
              <w:left w:w="45" w:type="dxa"/>
              <w:bottom w:w="0" w:type="dxa"/>
              <w:right w:w="45" w:type="dxa"/>
            </w:tcMar>
            <w:vAlign w:val="center"/>
            <w:hideMark/>
          </w:tcPr>
          <w:p w14:paraId="4E39D518" w14:textId="77777777" w:rsidR="009A6CFA" w:rsidRDefault="009A6CFA" w:rsidP="00781F9A">
            <w:pPr>
              <w:jc w:val="both"/>
              <w:rPr>
                <w:rFonts w:ascii="Arial" w:hAnsi="Arial" w:cs="Arial"/>
                <w:color w:val="000000"/>
                <w:sz w:val="20"/>
                <w:szCs w:val="20"/>
              </w:rPr>
            </w:pPr>
            <w:r>
              <w:rPr>
                <w:rFonts w:ascii="Arial" w:hAnsi="Arial" w:cs="Arial"/>
                <w:color w:val="000000"/>
                <w:sz w:val="20"/>
                <w:szCs w:val="20"/>
              </w:rPr>
              <w:t>Commercial Real Estate-Residential Housing Sector (CRE-RH)</w:t>
            </w:r>
          </w:p>
        </w:tc>
        <w:tc>
          <w:tcPr>
            <w:tcW w:w="584" w:type="pct"/>
            <w:tcMar>
              <w:top w:w="0" w:type="dxa"/>
              <w:left w:w="45" w:type="dxa"/>
              <w:bottom w:w="0" w:type="dxa"/>
              <w:right w:w="45" w:type="dxa"/>
            </w:tcMar>
            <w:vAlign w:val="center"/>
            <w:hideMark/>
          </w:tcPr>
          <w:p w14:paraId="1BB0CDCA"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0.75%</w:t>
            </w:r>
          </w:p>
        </w:tc>
        <w:tc>
          <w:tcPr>
            <w:tcW w:w="667" w:type="pct"/>
            <w:tcMar>
              <w:top w:w="0" w:type="dxa"/>
              <w:left w:w="45" w:type="dxa"/>
              <w:bottom w:w="0" w:type="dxa"/>
              <w:right w:w="45" w:type="dxa"/>
            </w:tcMar>
            <w:vAlign w:val="center"/>
            <w:hideMark/>
          </w:tcPr>
          <w:p w14:paraId="68D39094"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0.75%</w:t>
            </w:r>
          </w:p>
        </w:tc>
      </w:tr>
      <w:tr w:rsidR="009A6CFA" w14:paraId="4B83A60F" w14:textId="77777777" w:rsidTr="00781F9A">
        <w:tc>
          <w:tcPr>
            <w:tcW w:w="497" w:type="pct"/>
            <w:tcMar>
              <w:top w:w="0" w:type="dxa"/>
              <w:left w:w="45" w:type="dxa"/>
              <w:bottom w:w="0" w:type="dxa"/>
              <w:right w:w="45" w:type="dxa"/>
            </w:tcMar>
            <w:vAlign w:val="center"/>
            <w:hideMark/>
          </w:tcPr>
          <w:p w14:paraId="1AD1F5C8"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(d)</w:t>
            </w:r>
          </w:p>
        </w:tc>
        <w:tc>
          <w:tcPr>
            <w:tcW w:w="3252" w:type="pct"/>
            <w:tcMar>
              <w:top w:w="0" w:type="dxa"/>
              <w:left w:w="45" w:type="dxa"/>
              <w:bottom w:w="0" w:type="dxa"/>
              <w:right w:w="45" w:type="dxa"/>
            </w:tcMar>
            <w:vAlign w:val="center"/>
            <w:hideMark/>
          </w:tcPr>
          <w:p w14:paraId="03CEC809" w14:textId="77777777" w:rsidR="009A6CFA" w:rsidRDefault="009A6CFA" w:rsidP="00781F9A">
            <w:pPr>
              <w:jc w:val="both"/>
              <w:rPr>
                <w:rFonts w:ascii="Arial" w:hAnsi="Arial" w:cs="Arial"/>
                <w:color w:val="000000"/>
                <w:sz w:val="20"/>
                <w:szCs w:val="20"/>
              </w:rPr>
            </w:pPr>
            <w:r>
              <w:rPr>
                <w:rFonts w:ascii="Arial" w:hAnsi="Arial" w:cs="Arial"/>
                <w:color w:val="000000"/>
                <w:sz w:val="20"/>
                <w:szCs w:val="20"/>
              </w:rPr>
              <w:t>All other loans and advances not included above</w:t>
            </w:r>
          </w:p>
        </w:tc>
        <w:tc>
          <w:tcPr>
            <w:tcW w:w="584" w:type="pct"/>
            <w:tcMar>
              <w:top w:w="0" w:type="dxa"/>
              <w:left w:w="45" w:type="dxa"/>
              <w:bottom w:w="0" w:type="dxa"/>
              <w:right w:w="45" w:type="dxa"/>
            </w:tcMar>
            <w:vAlign w:val="center"/>
            <w:hideMark/>
          </w:tcPr>
          <w:p w14:paraId="2EDCB499"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0.40%</w:t>
            </w:r>
          </w:p>
        </w:tc>
        <w:tc>
          <w:tcPr>
            <w:tcW w:w="667" w:type="pct"/>
            <w:tcMar>
              <w:top w:w="0" w:type="dxa"/>
              <w:left w:w="45" w:type="dxa"/>
              <w:bottom w:w="0" w:type="dxa"/>
              <w:right w:w="45" w:type="dxa"/>
            </w:tcMar>
            <w:vAlign w:val="center"/>
            <w:hideMark/>
          </w:tcPr>
          <w:p w14:paraId="64091551" w14:textId="77777777" w:rsidR="009A6CFA" w:rsidRDefault="009A6CFA" w:rsidP="00781F9A">
            <w:pPr>
              <w:jc w:val="center"/>
              <w:rPr>
                <w:rFonts w:ascii="Arial" w:hAnsi="Arial" w:cs="Arial"/>
                <w:color w:val="000000"/>
                <w:sz w:val="20"/>
                <w:szCs w:val="20"/>
              </w:rPr>
            </w:pPr>
            <w:r>
              <w:rPr>
                <w:rFonts w:ascii="Arial" w:hAnsi="Arial" w:cs="Arial"/>
                <w:color w:val="000000"/>
                <w:sz w:val="20"/>
                <w:szCs w:val="20"/>
              </w:rPr>
              <w:t>0.25%</w:t>
            </w:r>
          </w:p>
        </w:tc>
      </w:tr>
    </w:tbl>
    <w:p w14:paraId="14865AEE"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3. On a review, it has been decided to harmonise the provisioning norms for standard assets applicable to all categories of UCBs, irrespective of their Tier in the revised framework.</w:t>
      </w:r>
    </w:p>
    <w:p w14:paraId="015B08E6" w14:textId="77777777" w:rsidR="009A6CFA" w:rsidRDefault="009A6CFA" w:rsidP="009A6CFA">
      <w:pPr>
        <w:pStyle w:val="NormalWeb"/>
        <w:spacing w:after="0" w:afterAutospacing="0"/>
        <w:jc w:val="both"/>
        <w:rPr>
          <w:rFonts w:ascii="Arial" w:hAnsi="Arial" w:cs="Arial"/>
          <w:color w:val="000000"/>
          <w:sz w:val="20"/>
          <w:szCs w:val="20"/>
        </w:rPr>
      </w:pPr>
      <w:r>
        <w:rPr>
          <w:rFonts w:ascii="Arial" w:hAnsi="Arial" w:cs="Arial"/>
          <w:color w:val="000000"/>
          <w:sz w:val="20"/>
          <w:szCs w:val="20"/>
        </w:rPr>
        <w:t>4. Accordingly, the standard asset provisioning norms applicable to Tier I, Tier 2, Tier 3 and Tier 4 UCBs under the revised framework shall be as under:</w:t>
      </w:r>
    </w:p>
    <w:p w14:paraId="1C710805" w14:textId="77777777" w:rsidR="009A6CFA" w:rsidRDefault="009A6CFA" w:rsidP="009A6CFA">
      <w:pPr>
        <w:pStyle w:val="NormalWeb"/>
        <w:numPr>
          <w:ilvl w:val="0"/>
          <w:numId w:val="2"/>
        </w:numPr>
        <w:spacing w:before="0" w:beforeAutospacing="0"/>
        <w:ind w:left="0"/>
        <w:jc w:val="both"/>
        <w:rPr>
          <w:rFonts w:ascii="Arial" w:hAnsi="Arial" w:cs="Arial"/>
          <w:color w:val="000000"/>
          <w:sz w:val="20"/>
          <w:szCs w:val="20"/>
        </w:rPr>
      </w:pPr>
      <w:r>
        <w:rPr>
          <w:rFonts w:ascii="Arial" w:hAnsi="Arial" w:cs="Arial"/>
          <w:color w:val="000000"/>
          <w:sz w:val="20"/>
          <w:szCs w:val="20"/>
        </w:rPr>
        <w:t>Direct advances to agriculture and SME sectors which are standard, shall attract a uniform provisioning requirement of 0.25 percent of the funded outstanding on a portfolio basis.</w:t>
      </w:r>
    </w:p>
    <w:p w14:paraId="374D5E97" w14:textId="77777777" w:rsidR="009A6CFA" w:rsidRDefault="009A6CFA" w:rsidP="009A6CFA">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Advances to commercial real estate (CRE) sector which are standard shall attract a uniform provisioning requirement of 1.00 percent of the funded outstanding on a portfolio basis.</w:t>
      </w:r>
    </w:p>
    <w:p w14:paraId="2E32A3BB" w14:textId="77777777" w:rsidR="009A6CFA" w:rsidRDefault="009A6CFA" w:rsidP="009A6CFA">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For advances to commercial real estate - residential housing (CRE-RH) sector, which are standard, the provisioning requirement shall be 0.75 percent</w:t>
      </w:r>
    </w:p>
    <w:p w14:paraId="67C0090F" w14:textId="77777777" w:rsidR="009A6CFA" w:rsidRDefault="009A6CFA" w:rsidP="009A6CFA">
      <w:pPr>
        <w:pStyle w:val="NormalWeb"/>
        <w:numPr>
          <w:ilvl w:val="0"/>
          <w:numId w:val="2"/>
        </w:numPr>
        <w:ind w:left="0"/>
        <w:jc w:val="both"/>
        <w:rPr>
          <w:rFonts w:ascii="Arial" w:hAnsi="Arial" w:cs="Arial"/>
          <w:color w:val="000000"/>
          <w:sz w:val="20"/>
          <w:szCs w:val="20"/>
        </w:rPr>
      </w:pPr>
      <w:r>
        <w:rPr>
          <w:rFonts w:ascii="Arial" w:hAnsi="Arial" w:cs="Arial"/>
          <w:color w:val="000000"/>
          <w:sz w:val="20"/>
          <w:szCs w:val="20"/>
        </w:rPr>
        <w:t>For all other advances, banks shall maintain a uniform general standard asset provision of a minimum of 0.40 percent of the funded outstanding on a portfolio basis.</w:t>
      </w:r>
    </w:p>
    <w:p w14:paraId="4D287345" w14:textId="77777777" w:rsidR="009A6CFA" w:rsidRDefault="009A6CFA" w:rsidP="009A6CFA">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14:paraId="23DAEA58" w14:textId="77777777" w:rsidR="009A6CFA" w:rsidRDefault="009A6CFA" w:rsidP="009A6CFA">
      <w:pPr>
        <w:pStyle w:val="NormalWeb"/>
        <w:spacing w:before="0" w:beforeAutospacing="0"/>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205D085D" w14:textId="77777777" w:rsidR="009A6CFA" w:rsidRDefault="009A6CFA" w:rsidP="009A6CFA">
      <w:pPr>
        <w:spacing w:after="0"/>
      </w:pPr>
      <w:r>
        <w:t>More details can be referred to in the below link.</w:t>
      </w:r>
    </w:p>
    <w:p w14:paraId="0C362DD4" w14:textId="2C169BD2" w:rsidR="009A6CFA" w:rsidRDefault="009A6CFA" w:rsidP="009A6CFA">
      <w:pPr>
        <w:rPr>
          <w:rStyle w:val="Hyperlink"/>
          <w:rFonts w:ascii="Arial" w:hAnsi="Arial" w:cs="Arial"/>
          <w:bCs/>
          <w:sz w:val="20"/>
          <w:szCs w:val="20"/>
        </w:rPr>
      </w:pPr>
      <w:r>
        <w:rPr>
          <w:rFonts w:ascii="Arial" w:hAnsi="Arial" w:cs="Arial"/>
          <w:bCs/>
          <w:color w:val="000000"/>
          <w:sz w:val="20"/>
          <w:szCs w:val="20"/>
        </w:rPr>
        <w:t xml:space="preserve">Reference Link:  </w:t>
      </w:r>
      <w:hyperlink r:id="rId54" w:history="1">
        <w:r w:rsidRPr="005F425E">
          <w:rPr>
            <w:rStyle w:val="Hyperlink"/>
            <w:rFonts w:ascii="Arial" w:hAnsi="Arial" w:cs="Arial"/>
            <w:bCs/>
            <w:sz w:val="20"/>
            <w:szCs w:val="20"/>
          </w:rPr>
          <w:t>https://rbi.org.in/Scripts/NotificationUser.aspx?Id=12491&amp;Mode=0</w:t>
        </w:r>
      </w:hyperlink>
    </w:p>
    <w:p w14:paraId="0A0451F2" w14:textId="77777777" w:rsidR="009A6CFA" w:rsidRDefault="009A6CFA" w:rsidP="009A6CFA">
      <w:pPr>
        <w:rPr>
          <w:rStyle w:val="Hyperlink"/>
          <w:rFonts w:ascii="Arial" w:hAnsi="Arial" w:cs="Arial"/>
          <w:bCs/>
          <w:sz w:val="20"/>
          <w:szCs w:val="20"/>
        </w:rPr>
      </w:pPr>
    </w:p>
    <w:p w14:paraId="5D70644A" w14:textId="77777777" w:rsidR="009A6CFA" w:rsidRDefault="009A6CFA" w:rsidP="009A6CFA">
      <w:pPr>
        <w:pStyle w:val="NormalWeb"/>
        <w:spacing w:before="240" w:beforeAutospacing="0"/>
        <w:rPr>
          <w:rFonts w:ascii="Arial" w:hAnsi="Arial" w:cs="Arial"/>
          <w:b/>
          <w:bCs/>
          <w:color w:val="000000"/>
          <w:sz w:val="20"/>
          <w:szCs w:val="20"/>
        </w:rPr>
      </w:pPr>
      <w:bookmarkStart w:id="28" w:name="OLE_LINK68"/>
      <w:bookmarkStart w:id="29" w:name="_Hlk141826500"/>
      <w:r>
        <w:rPr>
          <w:rFonts w:ascii="Arial" w:hAnsi="Arial" w:cs="Arial"/>
          <w:b/>
          <w:bCs/>
          <w:color w:val="000000"/>
          <w:sz w:val="20"/>
          <w:szCs w:val="20"/>
        </w:rPr>
        <w:lastRenderedPageBreak/>
        <w:t>Master Circular - Income Recognition, Asset Classification, Provisioning and Other Related Matters – UCBs</w:t>
      </w:r>
    </w:p>
    <w:bookmarkEnd w:id="28"/>
    <w:p w14:paraId="3BC459A1"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RBI/2023-24/26</w:t>
      </w:r>
      <w:r>
        <w:rPr>
          <w:rFonts w:ascii="Arial" w:hAnsi="Arial" w:cs="Arial"/>
          <w:color w:val="000000"/>
          <w:sz w:val="20"/>
          <w:szCs w:val="20"/>
        </w:rPr>
        <w:br/>
        <w:t>DOR.STR.REC.14/21.04.048/2023-24</w:t>
      </w:r>
    </w:p>
    <w:p w14:paraId="76AF3ACB"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May 08, 2023</w:t>
      </w:r>
    </w:p>
    <w:p w14:paraId="3B6F7EA0"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The Chief Executive Officers</w:t>
      </w:r>
      <w:r>
        <w:rPr>
          <w:rFonts w:ascii="Arial" w:hAnsi="Arial" w:cs="Arial"/>
          <w:color w:val="000000"/>
          <w:sz w:val="20"/>
          <w:szCs w:val="20"/>
        </w:rPr>
        <w:br/>
        <w:t>All Primary (Urban) Co-operative Banks</w:t>
      </w:r>
    </w:p>
    <w:p w14:paraId="3F5983C9"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Madam / Dear Sir,</w:t>
      </w:r>
    </w:p>
    <w:p w14:paraId="682190AE"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Master Circular - Income Recognition, Asset Classification, Provisioning and Other Related Matters - UCBs</w:t>
      </w:r>
    </w:p>
    <w:p w14:paraId="6AB85B2B"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55" w:tgtFrame="_blank" w:history="1">
        <w:r>
          <w:rPr>
            <w:rStyle w:val="Hyperlink"/>
            <w:rFonts w:ascii="Arial" w:hAnsi="Arial" w:cs="Arial"/>
            <w:sz w:val="20"/>
            <w:szCs w:val="20"/>
          </w:rPr>
          <w:t>Master Circular DOR.STR.REC.5/21.04.048/2022-23 dated April 1, 2022</w:t>
        </w:r>
      </w:hyperlink>
      <w:r>
        <w:rPr>
          <w:rFonts w:ascii="Arial" w:hAnsi="Arial" w:cs="Arial"/>
          <w:color w:val="000000"/>
          <w:sz w:val="20"/>
          <w:szCs w:val="20"/>
        </w:rPr>
        <w:t> on the captioned subject. The enclosed </w:t>
      </w:r>
      <w:hyperlink r:id="rId56"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till date as listed in the </w:t>
      </w:r>
      <w:hyperlink r:id="rId57" w:anchor="AN9" w:history="1">
        <w:r>
          <w:rPr>
            <w:rStyle w:val="Hyperlink"/>
            <w:rFonts w:ascii="Arial" w:hAnsi="Arial" w:cs="Arial"/>
            <w:sz w:val="20"/>
            <w:szCs w:val="20"/>
          </w:rPr>
          <w:t>Annex 9</w:t>
        </w:r>
      </w:hyperlink>
      <w:r>
        <w:rPr>
          <w:rFonts w:ascii="Arial" w:hAnsi="Arial" w:cs="Arial"/>
          <w:color w:val="000000"/>
          <w:sz w:val="20"/>
          <w:szCs w:val="20"/>
        </w:rPr>
        <w:t>.</w:t>
      </w:r>
    </w:p>
    <w:p w14:paraId="3D8E7968"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Yours faithfully</w:t>
      </w:r>
    </w:p>
    <w:p w14:paraId="1DD45D21"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7705865D" w14:textId="77777777" w:rsidR="009A6CFA" w:rsidRDefault="009A6CFA" w:rsidP="009A6CFA">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2A0093A6" w14:textId="77777777" w:rsidR="009A6CFA" w:rsidRDefault="009A6CFA" w:rsidP="009A6CFA">
      <w:pPr>
        <w:pStyle w:val="NormalWeb"/>
        <w:spacing w:before="240" w:beforeAutospacing="0"/>
        <w:rPr>
          <w:rFonts w:ascii="Arial" w:hAnsi="Arial" w:cs="Arial"/>
          <w:bCs/>
          <w:color w:val="000000"/>
          <w:sz w:val="20"/>
          <w:szCs w:val="20"/>
        </w:rPr>
      </w:pPr>
    </w:p>
    <w:p w14:paraId="732D1680" w14:textId="77777777" w:rsidR="009A6CFA" w:rsidRDefault="009A6CFA" w:rsidP="009A6CFA">
      <w:pPr>
        <w:spacing w:before="240" w:after="0"/>
      </w:pPr>
      <w:r>
        <w:t>More details can be referred to in the below link.</w:t>
      </w:r>
    </w:p>
    <w:p w14:paraId="23C52C7B" w14:textId="77777777" w:rsidR="009A6CFA" w:rsidRDefault="009A6CFA" w:rsidP="009A6CFA">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58" w:history="1">
        <w:r w:rsidRPr="005F425E">
          <w:rPr>
            <w:rStyle w:val="Hyperlink"/>
            <w:rFonts w:ascii="Arial" w:hAnsi="Arial" w:cs="Arial"/>
            <w:bCs/>
            <w:sz w:val="20"/>
            <w:szCs w:val="20"/>
          </w:rPr>
          <w:t>https://rbi.org.in/Scripts/NotificationUser.aspx?Id=12499&amp;Mode=0</w:t>
        </w:r>
      </w:hyperlink>
    </w:p>
    <w:p w14:paraId="5E482773" w14:textId="77777777" w:rsidR="009A6CFA" w:rsidRDefault="009A6CFA" w:rsidP="009A6CFA">
      <w:pPr>
        <w:pStyle w:val="NormalWeb"/>
        <w:spacing w:before="240" w:beforeAutospacing="0"/>
        <w:rPr>
          <w:rFonts w:ascii="Arial" w:hAnsi="Arial" w:cs="Arial"/>
          <w:bCs/>
          <w:color w:val="000000"/>
          <w:sz w:val="20"/>
          <w:szCs w:val="20"/>
        </w:rPr>
      </w:pPr>
    </w:p>
    <w:p w14:paraId="111E4C88" w14:textId="77777777" w:rsidR="009A6CFA" w:rsidRDefault="009A6CFA" w:rsidP="009A6CFA">
      <w:pPr>
        <w:pStyle w:val="NormalWeb"/>
        <w:spacing w:before="240" w:beforeAutospacing="0"/>
        <w:rPr>
          <w:rFonts w:ascii="Arial" w:hAnsi="Arial" w:cs="Arial"/>
          <w:bCs/>
          <w:color w:val="000000"/>
          <w:sz w:val="20"/>
          <w:szCs w:val="20"/>
        </w:rPr>
      </w:pPr>
    </w:p>
    <w:p w14:paraId="526ACA82" w14:textId="77777777" w:rsidR="009A6CFA" w:rsidRDefault="009A6CFA" w:rsidP="009A6CFA">
      <w:pPr>
        <w:pStyle w:val="NormalWeb"/>
        <w:spacing w:before="240" w:beforeAutospacing="0"/>
        <w:rPr>
          <w:rFonts w:ascii="Arial" w:hAnsi="Arial" w:cs="Arial"/>
          <w:bCs/>
          <w:color w:val="000000"/>
          <w:sz w:val="20"/>
          <w:szCs w:val="20"/>
        </w:rPr>
      </w:pPr>
    </w:p>
    <w:p w14:paraId="65E7B38B" w14:textId="77777777" w:rsidR="009A6CFA" w:rsidRDefault="009A6CFA" w:rsidP="009A6CFA">
      <w:pPr>
        <w:pStyle w:val="NormalWeb"/>
        <w:spacing w:before="240" w:beforeAutospacing="0"/>
        <w:rPr>
          <w:rFonts w:ascii="Arial" w:hAnsi="Arial" w:cs="Arial"/>
          <w:bCs/>
          <w:color w:val="000000"/>
          <w:sz w:val="20"/>
          <w:szCs w:val="20"/>
        </w:rPr>
      </w:pPr>
    </w:p>
    <w:p w14:paraId="04DFBEEE" w14:textId="77777777" w:rsidR="009A6CFA" w:rsidRDefault="009A6CFA" w:rsidP="009A6CFA">
      <w:pPr>
        <w:pStyle w:val="NormalWeb"/>
        <w:spacing w:before="240" w:beforeAutospacing="0"/>
        <w:rPr>
          <w:rFonts w:ascii="Arial" w:hAnsi="Arial" w:cs="Arial"/>
          <w:bCs/>
          <w:color w:val="000000"/>
          <w:sz w:val="20"/>
          <w:szCs w:val="20"/>
        </w:rPr>
      </w:pPr>
    </w:p>
    <w:p w14:paraId="16AC655D" w14:textId="77777777" w:rsidR="009A6CFA" w:rsidRDefault="009A6CFA" w:rsidP="009A6CFA">
      <w:pPr>
        <w:pStyle w:val="NormalWeb"/>
        <w:spacing w:before="240" w:beforeAutospacing="0"/>
        <w:rPr>
          <w:rFonts w:ascii="Arial" w:hAnsi="Arial" w:cs="Arial"/>
          <w:bCs/>
          <w:color w:val="000000"/>
          <w:sz w:val="20"/>
          <w:szCs w:val="20"/>
        </w:rPr>
      </w:pPr>
    </w:p>
    <w:p w14:paraId="6EB95D66" w14:textId="77777777" w:rsidR="009A6CFA" w:rsidRDefault="009A6CFA" w:rsidP="009A6CFA">
      <w:pPr>
        <w:pStyle w:val="NormalWeb"/>
        <w:spacing w:before="240" w:beforeAutospacing="0"/>
        <w:rPr>
          <w:rFonts w:ascii="Arial" w:hAnsi="Arial" w:cs="Arial"/>
          <w:bCs/>
          <w:color w:val="000000"/>
          <w:sz w:val="20"/>
          <w:szCs w:val="20"/>
        </w:rPr>
      </w:pPr>
    </w:p>
    <w:p w14:paraId="5841103C" w14:textId="77777777" w:rsidR="009A6CFA" w:rsidRDefault="009A6CFA" w:rsidP="009A6CFA">
      <w:pPr>
        <w:pStyle w:val="NormalWeb"/>
        <w:spacing w:before="240" w:beforeAutospacing="0"/>
        <w:rPr>
          <w:rFonts w:ascii="Arial" w:hAnsi="Arial" w:cs="Arial"/>
          <w:bCs/>
          <w:color w:val="000000"/>
          <w:sz w:val="20"/>
          <w:szCs w:val="20"/>
        </w:rPr>
      </w:pPr>
    </w:p>
    <w:p w14:paraId="5318A324" w14:textId="77777777" w:rsidR="009A6CFA" w:rsidRDefault="009A6CFA" w:rsidP="009A6CFA">
      <w:pPr>
        <w:pStyle w:val="NormalWeb"/>
        <w:spacing w:before="240" w:beforeAutospacing="0"/>
        <w:rPr>
          <w:rFonts w:ascii="Arial" w:hAnsi="Arial" w:cs="Arial"/>
          <w:bCs/>
          <w:color w:val="000000"/>
          <w:sz w:val="20"/>
          <w:szCs w:val="20"/>
        </w:rPr>
      </w:pPr>
    </w:p>
    <w:p w14:paraId="733771A5" w14:textId="77777777" w:rsidR="009A6CFA" w:rsidRDefault="009A6CFA" w:rsidP="009A6CFA">
      <w:pPr>
        <w:pStyle w:val="NormalWeb"/>
        <w:spacing w:before="240" w:beforeAutospacing="0"/>
        <w:rPr>
          <w:rFonts w:ascii="Arial" w:hAnsi="Arial" w:cs="Arial"/>
          <w:bCs/>
          <w:color w:val="000000"/>
          <w:sz w:val="20"/>
          <w:szCs w:val="20"/>
        </w:rPr>
      </w:pPr>
    </w:p>
    <w:bookmarkEnd w:id="29"/>
    <w:p w14:paraId="3B6CF143" w14:textId="77777777" w:rsidR="009A6CFA" w:rsidRDefault="009A6CFA" w:rsidP="009A6CFA">
      <w:pPr>
        <w:rPr>
          <w:lang w:val="en-US"/>
        </w:rPr>
      </w:pPr>
    </w:p>
    <w:p w14:paraId="74C2EE5F" w14:textId="77777777" w:rsidR="009A6CFA" w:rsidRDefault="009A6CFA" w:rsidP="009A6CFA">
      <w:pPr>
        <w:pStyle w:val="NormalWeb"/>
        <w:spacing w:before="240" w:beforeAutospacing="0"/>
        <w:rPr>
          <w:rFonts w:ascii="Arial" w:hAnsi="Arial" w:cs="Arial"/>
          <w:b/>
          <w:bCs/>
          <w:color w:val="000000"/>
          <w:sz w:val="20"/>
          <w:szCs w:val="20"/>
        </w:rPr>
      </w:pPr>
      <w:bookmarkStart w:id="30" w:name="OLE_LINK69"/>
      <w:bookmarkStart w:id="31" w:name="_Hlk141825311"/>
      <w:r>
        <w:rPr>
          <w:rFonts w:ascii="Arial" w:hAnsi="Arial" w:cs="Arial"/>
          <w:b/>
          <w:bCs/>
          <w:color w:val="000000"/>
          <w:sz w:val="20"/>
          <w:szCs w:val="20"/>
        </w:rPr>
        <w:lastRenderedPageBreak/>
        <w:t>Formalisation of Informal Micro Enterprises on Udyam Assist Platform</w:t>
      </w:r>
    </w:p>
    <w:bookmarkEnd w:id="30"/>
    <w:p w14:paraId="753F9C88"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RBI/2023-24/27</w:t>
      </w:r>
      <w:r>
        <w:rPr>
          <w:rFonts w:ascii="Arial" w:hAnsi="Arial" w:cs="Arial"/>
          <w:color w:val="000000"/>
          <w:sz w:val="20"/>
          <w:szCs w:val="20"/>
        </w:rPr>
        <w:br/>
        <w:t>FIDD.MSME &amp; NFS.BC.No.09/06.02.31/2023-24</w:t>
      </w:r>
    </w:p>
    <w:p w14:paraId="24650E82"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May 09, 2023</w:t>
      </w:r>
    </w:p>
    <w:p w14:paraId="53EA69DE"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The Chairman/ Managing Director/Chief Executive Officer</w:t>
      </w:r>
      <w:r>
        <w:rPr>
          <w:rFonts w:ascii="Arial" w:hAnsi="Arial" w:cs="Arial"/>
          <w:color w:val="000000"/>
          <w:sz w:val="20"/>
          <w:szCs w:val="20"/>
        </w:rPr>
        <w:br/>
        <w:t>All Commercial Banks</w:t>
      </w:r>
      <w:r>
        <w:rPr>
          <w:rFonts w:ascii="Arial" w:hAnsi="Arial" w:cs="Arial"/>
          <w:color w:val="000000"/>
          <w:sz w:val="20"/>
          <w:szCs w:val="20"/>
        </w:rPr>
        <w:br/>
        <w:t>(including Small Finance Banks, Local Area Banks and Regional Rural Banks)</w:t>
      </w:r>
      <w:r>
        <w:rPr>
          <w:rFonts w:ascii="Arial" w:hAnsi="Arial" w:cs="Arial"/>
          <w:color w:val="000000"/>
          <w:sz w:val="20"/>
          <w:szCs w:val="20"/>
        </w:rPr>
        <w:br/>
        <w:t>All Primary (Urban) Co-operative Banks/State Co-operative Banks</w:t>
      </w:r>
      <w:r>
        <w:rPr>
          <w:rFonts w:ascii="Arial" w:hAnsi="Arial" w:cs="Arial"/>
          <w:color w:val="000000"/>
          <w:sz w:val="20"/>
          <w:szCs w:val="20"/>
        </w:rPr>
        <w:br/>
        <w:t>/ District Central Co-operative Banks</w:t>
      </w:r>
      <w:r>
        <w:rPr>
          <w:rFonts w:ascii="Arial" w:hAnsi="Arial" w:cs="Arial"/>
          <w:color w:val="000000"/>
          <w:sz w:val="20"/>
          <w:szCs w:val="20"/>
        </w:rPr>
        <w:br/>
        <w:t>All-India Financial Institutions</w:t>
      </w:r>
      <w:r>
        <w:rPr>
          <w:rFonts w:ascii="Arial" w:hAnsi="Arial" w:cs="Arial"/>
          <w:color w:val="000000"/>
          <w:sz w:val="20"/>
          <w:szCs w:val="20"/>
        </w:rPr>
        <w:br/>
        <w:t>All Non-Banking Financial Companies</w:t>
      </w:r>
    </w:p>
    <w:p w14:paraId="62EC3EEA"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Dear Sir / Madam</w:t>
      </w:r>
    </w:p>
    <w:p w14:paraId="1C368BF9"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Formalisation of Informal Micro Enterprises on Udyam Assist Platform</w:t>
      </w:r>
    </w:p>
    <w:p w14:paraId="73A497AF"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9" w:tgtFrame="_blank" w:history="1">
        <w:r>
          <w:rPr>
            <w:rStyle w:val="Hyperlink"/>
            <w:rFonts w:ascii="Arial" w:hAnsi="Arial" w:cs="Arial"/>
            <w:sz w:val="20"/>
            <w:szCs w:val="20"/>
          </w:rPr>
          <w:t>Circular FIDD.MSME &amp; NFS.BC.No.4/06.02.31/2020-21 dated August 21, 2020</w:t>
        </w:r>
      </w:hyperlink>
      <w:r>
        <w:rPr>
          <w:rFonts w:ascii="Arial" w:hAnsi="Arial" w:cs="Arial"/>
          <w:color w:val="000000"/>
          <w:sz w:val="20"/>
          <w:szCs w:val="20"/>
        </w:rPr>
        <w:t> on ‘New Definition of Micro, Small and Medium Enterprises – clarifications’ wherein all lenders were advised to obtain ‘Udyam Registration Certificate’ for classification of entities as MSME.</w:t>
      </w:r>
    </w:p>
    <w:p w14:paraId="0C5C18AD"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2. The Ministry of Micro, Small and Medium Enterprises (‘MSME’), Government of India has launched the Udyam Assist Platform (UAP) to facilitate formalisation of Informal Micro Enterprises (IMEs) through online generation of Udyam Assist Certificate. Registration on the platform is done with the assistance of Designated Agencies which are RBI regulated entities (including scheduled commercial banks, non-banking financial companies, etc.).</w:t>
      </w:r>
    </w:p>
    <w:p w14:paraId="442B6151"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3. The Government of India, vide </w:t>
      </w:r>
      <w:hyperlink r:id="rId60" w:tgtFrame="_blank" w:history="1">
        <w:r>
          <w:rPr>
            <w:rStyle w:val="Hyperlink"/>
            <w:rFonts w:ascii="Arial" w:hAnsi="Arial" w:cs="Arial"/>
            <w:sz w:val="20"/>
            <w:szCs w:val="20"/>
          </w:rPr>
          <w:t>Gazette Notification S.O. 1296(E) dated March 20, 2023</w:t>
        </w:r>
      </w:hyperlink>
      <w:r>
        <w:rPr>
          <w:rFonts w:ascii="Arial" w:hAnsi="Arial" w:cs="Arial"/>
          <w:color w:val="000000"/>
          <w:sz w:val="20"/>
          <w:szCs w:val="20"/>
        </w:rPr>
        <w:t>, has specified that the certificate issued on the UAP to IMEs shall be treated at par with Udyam Registration Certificate for the purpose of availing Priority Sector Lending (PSL) benefits.</w:t>
      </w:r>
    </w:p>
    <w:p w14:paraId="4F412A4E"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4. Government of India has clarified to RBI that IMEs are those enterprises which are unable to get registered on the Udyam Registration Portal (URP) due to lack of mandatory required documents such as Permanent Account Number (PAN) or Goods and Services Tax Identification Number (GSTIN). Hence such enterprises are unable to avail the benefits of Government schemes or programmes. Further, it has been clarified that the turnover of enterprises exempted from filing returns under the provisions of the Central Goods and Services Tax Act, 2017 shall be the sole criterion to be defined as IMEs for the purpose of UAP. Accordingly, IMEs are those enterprises that are not covered in the Goods and Services Tax regime.</w:t>
      </w:r>
    </w:p>
    <w:p w14:paraId="1200CFED"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5. An interface has been created between the UAP and Udyam Registration Portal (URP) to enable the transition and migration of the IMEs from UAP to URP, once IMEs obtain the mandatorily required documents.</w:t>
      </w:r>
    </w:p>
    <w:p w14:paraId="4435658E"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6. In view of the aforementioned notification and clarification, IMEs with an Udyam Assist Certificate shall be treated as Micro Enterprises under MSME for the purposes of PSL classification.</w:t>
      </w:r>
    </w:p>
    <w:p w14:paraId="4F85C3BD"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Yours faithfully</w:t>
      </w:r>
    </w:p>
    <w:p w14:paraId="59B30A9E" w14:textId="77777777" w:rsidR="009A6CFA" w:rsidRPr="00CF0AC9" w:rsidRDefault="009A6CFA" w:rsidP="009A6CFA">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44AB2AE3" w14:textId="77777777" w:rsidR="009A6CFA" w:rsidRDefault="009A6CFA" w:rsidP="009A6CFA">
      <w:pPr>
        <w:spacing w:before="240" w:after="0"/>
      </w:pPr>
      <w:r>
        <w:t>More details can be referred to in the below link.</w:t>
      </w:r>
    </w:p>
    <w:p w14:paraId="759917FC" w14:textId="77777777" w:rsidR="009A6CFA" w:rsidRDefault="009A6CFA" w:rsidP="009A6CFA">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61" w:history="1">
        <w:r w:rsidRPr="005F425E">
          <w:rPr>
            <w:rStyle w:val="Hyperlink"/>
            <w:rFonts w:ascii="Arial" w:hAnsi="Arial" w:cs="Arial"/>
            <w:bCs/>
            <w:sz w:val="20"/>
            <w:szCs w:val="20"/>
          </w:rPr>
          <w:t>https://rbi.org.in/Scripts/NotificationUser.aspx?Id=12500&amp;Mode=0</w:t>
        </w:r>
      </w:hyperlink>
    </w:p>
    <w:p w14:paraId="4973D9BC" w14:textId="77777777" w:rsidR="009A6CFA" w:rsidRDefault="009A6CFA" w:rsidP="009A6CFA">
      <w:pPr>
        <w:pStyle w:val="NormalWeb"/>
        <w:spacing w:before="240" w:beforeAutospacing="0"/>
        <w:rPr>
          <w:rFonts w:ascii="Arial" w:hAnsi="Arial" w:cs="Arial"/>
          <w:b/>
          <w:bCs/>
          <w:color w:val="000000"/>
          <w:sz w:val="20"/>
          <w:szCs w:val="20"/>
        </w:rPr>
      </w:pPr>
      <w:bookmarkStart w:id="32" w:name="OLE_LINK72"/>
      <w:bookmarkEnd w:id="31"/>
      <w:r>
        <w:rPr>
          <w:rFonts w:ascii="Arial" w:hAnsi="Arial" w:cs="Arial"/>
          <w:b/>
          <w:bCs/>
          <w:color w:val="000000"/>
          <w:sz w:val="20"/>
          <w:szCs w:val="20"/>
        </w:rPr>
        <w:lastRenderedPageBreak/>
        <w:t>LIBOR Transition</w:t>
      </w:r>
    </w:p>
    <w:bookmarkEnd w:id="32"/>
    <w:p w14:paraId="7C74E0AD" w14:textId="77777777" w:rsidR="009A6CFA" w:rsidRDefault="009A6CFA" w:rsidP="009A6CFA">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RBI/2023-24/30</w:t>
      </w:r>
      <w:r>
        <w:rPr>
          <w:rFonts w:ascii="Arial" w:hAnsi="Arial" w:cs="Arial"/>
          <w:color w:val="000000"/>
          <w:sz w:val="20"/>
          <w:szCs w:val="20"/>
        </w:rPr>
        <w:br/>
        <w:t>CO.FMRD.DIRD.01/14.02.001/2023-24</w:t>
      </w:r>
    </w:p>
    <w:p w14:paraId="2ADC55D1"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May 12, 2023</w:t>
      </w:r>
    </w:p>
    <w:p w14:paraId="61D50E43"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To</w:t>
      </w:r>
    </w:p>
    <w:p w14:paraId="45910A4A"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The Chief Executive Officer/ Chairman/Managing Director,</w:t>
      </w:r>
      <w:r>
        <w:rPr>
          <w:rFonts w:ascii="Arial" w:hAnsi="Arial" w:cs="Arial"/>
          <w:color w:val="000000"/>
          <w:sz w:val="20"/>
          <w:szCs w:val="20"/>
        </w:rPr>
        <w:br/>
        <w:t>All Commercial and Co-operative Banks / All India Financial Institutions /</w:t>
      </w:r>
      <w:r>
        <w:rPr>
          <w:rFonts w:ascii="Arial" w:hAnsi="Arial" w:cs="Arial"/>
          <w:color w:val="000000"/>
          <w:sz w:val="20"/>
          <w:szCs w:val="20"/>
        </w:rPr>
        <w:br/>
        <w:t>Non-Banking Financial Companies including Housing Finance Companies and</w:t>
      </w:r>
      <w:r>
        <w:rPr>
          <w:rFonts w:ascii="Arial" w:hAnsi="Arial" w:cs="Arial"/>
          <w:color w:val="000000"/>
          <w:sz w:val="20"/>
          <w:szCs w:val="20"/>
        </w:rPr>
        <w:br/>
        <w:t>Standalone Primary Dealers</w:t>
      </w:r>
    </w:p>
    <w:p w14:paraId="68448C93" w14:textId="77777777" w:rsidR="009A6CFA" w:rsidRDefault="009A6CFA" w:rsidP="009A6CFA">
      <w:pPr>
        <w:pStyle w:val="NormalWeb"/>
        <w:spacing w:after="0" w:afterAutospacing="0"/>
        <w:jc w:val="both"/>
        <w:rPr>
          <w:rFonts w:ascii="Arial" w:hAnsi="Arial" w:cs="Arial"/>
          <w:color w:val="000000"/>
          <w:sz w:val="20"/>
          <w:szCs w:val="20"/>
        </w:rPr>
      </w:pPr>
      <w:r>
        <w:rPr>
          <w:rFonts w:ascii="Arial" w:hAnsi="Arial" w:cs="Arial"/>
          <w:color w:val="000000"/>
          <w:sz w:val="20"/>
          <w:szCs w:val="20"/>
        </w:rPr>
        <w:t>Madam / Dear Sir</w:t>
      </w:r>
    </w:p>
    <w:p w14:paraId="28D1DF7C" w14:textId="77777777" w:rsidR="009A6CFA" w:rsidRDefault="009A6CFA" w:rsidP="009A6CFA">
      <w:pPr>
        <w:pStyle w:val="head"/>
        <w:jc w:val="center"/>
        <w:rPr>
          <w:rFonts w:ascii="Arial" w:hAnsi="Arial" w:cs="Arial"/>
          <w:b/>
          <w:bCs/>
          <w:color w:val="000000"/>
          <w:sz w:val="20"/>
          <w:szCs w:val="20"/>
        </w:rPr>
      </w:pPr>
      <w:r>
        <w:rPr>
          <w:rFonts w:ascii="Arial" w:hAnsi="Arial" w:cs="Arial"/>
          <w:b/>
          <w:bCs/>
          <w:color w:val="000000"/>
          <w:sz w:val="20"/>
          <w:szCs w:val="20"/>
        </w:rPr>
        <w:t>LIBOR Transition</w:t>
      </w:r>
    </w:p>
    <w:p w14:paraId="16776A19"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Attention of banks/financial institutions (FIs) is drawn to the Reserve Bank advisory on </w:t>
      </w:r>
      <w:hyperlink r:id="rId62" w:tgtFrame="_blank" w:history="1">
        <w:r>
          <w:rPr>
            <w:rStyle w:val="Hyperlink"/>
            <w:rFonts w:ascii="Arial" w:hAnsi="Arial" w:cs="Arial"/>
            <w:sz w:val="20"/>
            <w:szCs w:val="20"/>
          </w:rPr>
          <w:t>“Roadmap for LIBOR Transition” dated July 08, 2021</w:t>
        </w:r>
      </w:hyperlink>
      <w:r>
        <w:rPr>
          <w:rFonts w:ascii="Arial" w:hAnsi="Arial" w:cs="Arial"/>
          <w:color w:val="000000"/>
          <w:sz w:val="20"/>
          <w:szCs w:val="20"/>
        </w:rPr>
        <w:t> wherein banks/FIs, inter-alia, were (</w:t>
      </w:r>
      <w:proofErr w:type="spellStart"/>
      <w:r>
        <w:rPr>
          <w:rFonts w:ascii="Arial" w:hAnsi="Arial" w:cs="Arial"/>
          <w:color w:val="000000"/>
          <w:sz w:val="20"/>
          <w:szCs w:val="20"/>
        </w:rPr>
        <w:t>i</w:t>
      </w:r>
      <w:proofErr w:type="spellEnd"/>
      <w:r>
        <w:rPr>
          <w:rFonts w:ascii="Arial" w:hAnsi="Arial" w:cs="Arial"/>
          <w:color w:val="000000"/>
          <w:sz w:val="20"/>
          <w:szCs w:val="20"/>
        </w:rPr>
        <w:t>) encouraged to cease, and also encourage their customers to cease, entering into new financial contracts that reference London Interbank Offered Rate (LIBOR) as a benchmark and instead use any widely accepted Alternative Reference Rate (ARR), as soon as practicable and in any case by December 31, 2021 and (ii) urged to incorporate robust fallback clauses in all financial contracts that reference LIBOR and the maturity of which was after the announced cessation date of the LIBOR settings.</w:t>
      </w:r>
    </w:p>
    <w:p w14:paraId="7E2DF095"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2. With the concerted efforts of banks/FIs as well as industry associations like the Indian Banks’ Association, a smooth transition with respect to LIBOR settings that have ceased to be published/become non-representative after December 31, 2021 has been achieved. The transition away from LIBOR was also facilitated by the continuing publication of US$ LIBOR settings in five tenors which provided a longer transition period particularly for the insertion of the fallback clauses in legacy financial contracts that reference LIBOR. New transactions are now predominantly undertaken using ARRs such as the Secured Overnight Financing Rate (SOFR) and the Modified Mumbai Interbank Forward Outright Rate (MMIFOR). At the same time, there have been instances of a few US$ LIBOR linked financial contracts undertaken/facilitated by banks/FIs after January 1, 2022. Also, while banks have reported that substantial progress has been made towards insertion of fallback clauses, the process is yet to be completed for all contracts where such fallbacks are required to be inserted.</w:t>
      </w:r>
    </w:p>
    <w:p w14:paraId="43738A7A"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 xml:space="preserve">3. After June 30, 2023, the publication of the remaining five US$ LIBOR settings will cease permanently. While certain synthetic LIBOR settings will continue to be published after June 30, 2023, the Financial Conduct Authority (FCA), UK, which regulates the LIBOR, has made it clear that these settings are not meant to be used in new financial contracts. The MIFOR, a domestic interest rate benchmark reliant on US$ LIBOR, will also cease to be published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after June 30, 2023.</w:t>
      </w:r>
    </w:p>
    <w:p w14:paraId="42943805" w14:textId="77777777" w:rsidR="009A6CFA" w:rsidRDefault="009A6CFA" w:rsidP="009A6CFA">
      <w:pPr>
        <w:pStyle w:val="NormalWeb"/>
        <w:spacing w:after="0" w:afterAutospacing="0"/>
        <w:jc w:val="right"/>
        <w:rPr>
          <w:rFonts w:ascii="Arial" w:hAnsi="Arial" w:cs="Arial"/>
          <w:color w:val="000000"/>
          <w:sz w:val="20"/>
          <w:szCs w:val="20"/>
        </w:rPr>
      </w:pPr>
      <w:r>
        <w:rPr>
          <w:rFonts w:ascii="Arial" w:hAnsi="Arial" w:cs="Arial"/>
          <w:color w:val="000000"/>
          <w:sz w:val="20"/>
          <w:szCs w:val="20"/>
        </w:rPr>
        <w:t>Yours sincerely,</w:t>
      </w:r>
    </w:p>
    <w:p w14:paraId="4B35FF84" w14:textId="77777777" w:rsidR="009A6CFA" w:rsidRDefault="009A6CFA" w:rsidP="009A6CFA">
      <w:pPr>
        <w:pStyle w:val="NormalWeb"/>
        <w:spacing w:before="0" w:beforeAutospacing="0"/>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719853C6" w14:textId="77777777" w:rsidR="009A6CFA" w:rsidRDefault="009A6CFA" w:rsidP="009A6CFA">
      <w:pPr>
        <w:spacing w:before="240" w:after="0"/>
      </w:pPr>
      <w:r>
        <w:t>More details can be referred to in the below link.</w:t>
      </w:r>
    </w:p>
    <w:p w14:paraId="19C0D83C" w14:textId="7BD2D78D" w:rsidR="009A6CFA" w:rsidRDefault="009A6CFA" w:rsidP="009A6CFA">
      <w:pPr>
        <w:rPr>
          <w:rStyle w:val="Hyperlink"/>
          <w:rFonts w:ascii="Arial" w:hAnsi="Arial" w:cs="Arial"/>
          <w:bCs/>
          <w:sz w:val="20"/>
          <w:szCs w:val="20"/>
        </w:rPr>
      </w:pPr>
      <w:r>
        <w:rPr>
          <w:rFonts w:ascii="Arial" w:hAnsi="Arial" w:cs="Arial"/>
          <w:bCs/>
          <w:color w:val="000000"/>
          <w:sz w:val="20"/>
          <w:szCs w:val="20"/>
        </w:rPr>
        <w:t xml:space="preserve">Reference Link:  </w:t>
      </w:r>
      <w:hyperlink r:id="rId63" w:history="1">
        <w:r w:rsidRPr="005F425E">
          <w:rPr>
            <w:rStyle w:val="Hyperlink"/>
            <w:rFonts w:ascii="Arial" w:hAnsi="Arial" w:cs="Arial"/>
            <w:bCs/>
            <w:sz w:val="20"/>
            <w:szCs w:val="20"/>
          </w:rPr>
          <w:t>https://rbi.org.in/Scripts/NotificationUser.aspx?Id=12503&amp;Mode=0</w:t>
        </w:r>
      </w:hyperlink>
    </w:p>
    <w:p w14:paraId="29AD30F2" w14:textId="77777777" w:rsidR="009A6CFA" w:rsidRDefault="009A6CFA" w:rsidP="009A6CFA">
      <w:pPr>
        <w:rPr>
          <w:rStyle w:val="Hyperlink"/>
          <w:rFonts w:ascii="Arial" w:hAnsi="Arial" w:cs="Arial"/>
          <w:bCs/>
          <w:sz w:val="20"/>
          <w:szCs w:val="20"/>
        </w:rPr>
      </w:pPr>
    </w:p>
    <w:p w14:paraId="2B441C17" w14:textId="77777777" w:rsidR="009A6CFA" w:rsidRDefault="009A6CFA" w:rsidP="009A6CFA">
      <w:pPr>
        <w:rPr>
          <w:rStyle w:val="Hyperlink"/>
          <w:rFonts w:ascii="Arial" w:hAnsi="Arial" w:cs="Arial"/>
          <w:bCs/>
          <w:sz w:val="20"/>
          <w:szCs w:val="20"/>
        </w:rPr>
      </w:pPr>
    </w:p>
    <w:p w14:paraId="7CF2CFEC" w14:textId="77777777" w:rsidR="009A6CFA" w:rsidRDefault="009A6CFA" w:rsidP="009A6CFA">
      <w:pPr>
        <w:rPr>
          <w:rStyle w:val="Hyperlink"/>
          <w:rFonts w:ascii="Arial" w:hAnsi="Arial" w:cs="Arial"/>
          <w:bCs/>
          <w:sz w:val="20"/>
          <w:szCs w:val="20"/>
        </w:rPr>
      </w:pPr>
    </w:p>
    <w:p w14:paraId="53F8A0D4" w14:textId="77777777" w:rsidR="009A6CFA" w:rsidRDefault="009A6CFA" w:rsidP="009A6CFA">
      <w:pPr>
        <w:pStyle w:val="NormalWeb"/>
        <w:spacing w:before="0" w:beforeAutospacing="0"/>
        <w:rPr>
          <w:rFonts w:ascii="Arial" w:hAnsi="Arial" w:cs="Arial"/>
          <w:b/>
          <w:bCs/>
          <w:color w:val="000000"/>
          <w:sz w:val="20"/>
          <w:szCs w:val="20"/>
        </w:rPr>
      </w:pPr>
      <w:bookmarkStart w:id="33" w:name="OLE_LINK73"/>
      <w:bookmarkStart w:id="34" w:name="_Hlk141826600"/>
      <w:r>
        <w:rPr>
          <w:rFonts w:ascii="Arial" w:hAnsi="Arial" w:cs="Arial"/>
          <w:b/>
          <w:bCs/>
          <w:color w:val="000000"/>
          <w:sz w:val="20"/>
          <w:szCs w:val="20"/>
        </w:rPr>
        <w:lastRenderedPageBreak/>
        <w:t>Master Circular – Basel III Capital Regulations</w:t>
      </w:r>
    </w:p>
    <w:bookmarkEnd w:id="33"/>
    <w:p w14:paraId="043EB92A"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RBI/2023-24/31</w:t>
      </w:r>
      <w:r>
        <w:rPr>
          <w:rFonts w:ascii="Arial" w:hAnsi="Arial" w:cs="Arial"/>
          <w:color w:val="000000"/>
          <w:sz w:val="20"/>
          <w:szCs w:val="20"/>
        </w:rPr>
        <w:br/>
        <w:t>DOR.CAP.REC.15/21.06.201/2023-24</w:t>
      </w:r>
    </w:p>
    <w:p w14:paraId="7552330E"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May 12, 2023</w:t>
      </w:r>
    </w:p>
    <w:p w14:paraId="6D7DA621"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Small Finance Banks, Payments Banks</w:t>
      </w:r>
      <w:r>
        <w:rPr>
          <w:rFonts w:ascii="Arial" w:hAnsi="Arial" w:cs="Arial"/>
          <w:color w:val="000000"/>
          <w:sz w:val="20"/>
          <w:szCs w:val="20"/>
        </w:rPr>
        <w:br/>
        <w:t>and Regional Rural Banks)</w:t>
      </w:r>
    </w:p>
    <w:p w14:paraId="085B3E8C"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Madam / Dear Sir,</w:t>
      </w:r>
    </w:p>
    <w:p w14:paraId="2F7B2C65" w14:textId="77777777" w:rsidR="009A6CFA" w:rsidRDefault="009A6CFA" w:rsidP="009A6CFA">
      <w:pPr>
        <w:pStyle w:val="head"/>
        <w:jc w:val="center"/>
        <w:rPr>
          <w:rFonts w:ascii="Arial" w:hAnsi="Arial" w:cs="Arial"/>
          <w:b/>
          <w:bCs/>
          <w:color w:val="000000"/>
          <w:sz w:val="20"/>
          <w:szCs w:val="20"/>
        </w:rPr>
      </w:pPr>
      <w:r>
        <w:rPr>
          <w:rFonts w:ascii="Arial" w:hAnsi="Arial" w:cs="Arial"/>
          <w:b/>
          <w:bCs/>
          <w:color w:val="000000"/>
          <w:sz w:val="20"/>
          <w:szCs w:val="20"/>
        </w:rPr>
        <w:t>Master Circular – Basel III Capital Regulations</w:t>
      </w:r>
    </w:p>
    <w:p w14:paraId="2362E6A0"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64" w:tgtFrame="_blank" w:history="1">
        <w:r>
          <w:rPr>
            <w:rStyle w:val="Hyperlink"/>
            <w:rFonts w:ascii="Arial" w:hAnsi="Arial" w:cs="Arial"/>
            <w:sz w:val="20"/>
            <w:szCs w:val="20"/>
          </w:rPr>
          <w:t>Master Circular No. DOR.CAP.REC.3/21.06.201/2022-23 dated April 1, 2022</w:t>
        </w:r>
      </w:hyperlink>
      <w:r>
        <w:rPr>
          <w:rFonts w:ascii="Arial" w:hAnsi="Arial" w:cs="Arial"/>
          <w:color w:val="000000"/>
          <w:sz w:val="20"/>
          <w:szCs w:val="20"/>
        </w:rPr>
        <w:t>, consolidating therein the prudential guidelines on Basel III capital adequacy issued to banks till that date.</w:t>
      </w:r>
    </w:p>
    <w:p w14:paraId="243649FD"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2. The instructions contained in the aforesaid </w:t>
      </w:r>
      <w:hyperlink r:id="rId65" w:tgtFrame="_blank" w:history="1">
        <w:r>
          <w:rPr>
            <w:rStyle w:val="Hyperlink"/>
            <w:rFonts w:ascii="Arial" w:hAnsi="Arial" w:cs="Arial"/>
            <w:sz w:val="20"/>
            <w:szCs w:val="20"/>
          </w:rPr>
          <w:t>Master Circular</w:t>
        </w:r>
      </w:hyperlink>
      <w:r>
        <w:rPr>
          <w:rFonts w:ascii="Arial" w:hAnsi="Arial" w:cs="Arial"/>
          <w:color w:val="000000"/>
          <w:sz w:val="20"/>
          <w:szCs w:val="20"/>
        </w:rPr>
        <w:t> have been suitably updated / amended by incorporating relevant guidelines, issued as on date. A list of circulars consolidated in this Master Circular is contained in Annex 26.</w:t>
      </w:r>
    </w:p>
    <w:p w14:paraId="51C13BC9"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3. Small Finance Banks and Payments Banks may refer to their respective licensing guidelines and operating guidelines issued by Reserve Bank, for prudential guidelines on capital adequacy.</w:t>
      </w:r>
    </w:p>
    <w:p w14:paraId="7D1F75CB"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Yours faithfully,</w:t>
      </w:r>
    </w:p>
    <w:p w14:paraId="3AF6DC8A" w14:textId="77777777" w:rsidR="009A6CFA" w:rsidRDefault="009A6CFA" w:rsidP="009A6CFA">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2B777446"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Encl.: As above</w:t>
      </w:r>
    </w:p>
    <w:p w14:paraId="20B4689D" w14:textId="77777777" w:rsidR="009A6CFA" w:rsidRDefault="009A6CFA" w:rsidP="009A6CFA">
      <w:pPr>
        <w:pStyle w:val="NormalWeb"/>
        <w:spacing w:before="0" w:beforeAutospacing="0"/>
        <w:rPr>
          <w:rFonts w:ascii="Arial" w:hAnsi="Arial" w:cs="Arial"/>
          <w:bCs/>
          <w:color w:val="000000"/>
          <w:sz w:val="20"/>
          <w:szCs w:val="20"/>
        </w:rPr>
      </w:pPr>
    </w:p>
    <w:p w14:paraId="441E17F1" w14:textId="77777777" w:rsidR="009A6CFA" w:rsidRDefault="009A6CFA" w:rsidP="009A6CFA">
      <w:pPr>
        <w:spacing w:before="240" w:after="0"/>
      </w:pPr>
      <w:r>
        <w:t>More details can be referred to in the below link.</w:t>
      </w:r>
    </w:p>
    <w:p w14:paraId="51894846" w14:textId="77777777" w:rsidR="009A6CFA" w:rsidRDefault="009A6CFA" w:rsidP="009A6CFA">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66" w:history="1">
        <w:r w:rsidRPr="005F425E">
          <w:rPr>
            <w:rStyle w:val="Hyperlink"/>
            <w:rFonts w:ascii="Arial" w:hAnsi="Arial" w:cs="Arial"/>
            <w:bCs/>
            <w:sz w:val="20"/>
            <w:szCs w:val="20"/>
          </w:rPr>
          <w:t>https://rbi.org.in/Scripts/NotificationUser.aspx?Id=12504&amp;Mode=0</w:t>
        </w:r>
      </w:hyperlink>
    </w:p>
    <w:p w14:paraId="1AA68976" w14:textId="77777777" w:rsidR="009A6CFA" w:rsidRDefault="009A6CFA" w:rsidP="009A6CFA">
      <w:pPr>
        <w:pStyle w:val="NormalWeb"/>
        <w:spacing w:before="240" w:beforeAutospacing="0"/>
        <w:rPr>
          <w:rFonts w:ascii="Arial" w:hAnsi="Arial" w:cs="Arial"/>
          <w:bCs/>
          <w:color w:val="000000"/>
          <w:sz w:val="20"/>
          <w:szCs w:val="20"/>
        </w:rPr>
      </w:pPr>
    </w:p>
    <w:p w14:paraId="01F43A27" w14:textId="77777777" w:rsidR="009A6CFA" w:rsidRDefault="009A6CFA" w:rsidP="009A6CFA">
      <w:pPr>
        <w:pStyle w:val="NormalWeb"/>
        <w:spacing w:before="240" w:beforeAutospacing="0"/>
        <w:rPr>
          <w:rFonts w:ascii="Arial" w:hAnsi="Arial" w:cs="Arial"/>
          <w:bCs/>
          <w:color w:val="000000"/>
          <w:sz w:val="20"/>
          <w:szCs w:val="20"/>
        </w:rPr>
      </w:pPr>
    </w:p>
    <w:p w14:paraId="1167AC2F" w14:textId="77777777" w:rsidR="009A6CFA" w:rsidRDefault="009A6CFA" w:rsidP="009A6CFA">
      <w:pPr>
        <w:pStyle w:val="NormalWeb"/>
        <w:spacing w:before="240" w:beforeAutospacing="0"/>
        <w:rPr>
          <w:rFonts w:ascii="Arial" w:hAnsi="Arial" w:cs="Arial"/>
          <w:bCs/>
          <w:color w:val="000000"/>
          <w:sz w:val="20"/>
          <w:szCs w:val="20"/>
        </w:rPr>
      </w:pPr>
    </w:p>
    <w:p w14:paraId="51453B87" w14:textId="77777777" w:rsidR="009A6CFA" w:rsidRDefault="009A6CFA" w:rsidP="009A6CFA">
      <w:pPr>
        <w:pStyle w:val="NormalWeb"/>
        <w:spacing w:before="240" w:beforeAutospacing="0"/>
        <w:rPr>
          <w:rFonts w:ascii="Arial" w:hAnsi="Arial" w:cs="Arial"/>
          <w:bCs/>
          <w:color w:val="000000"/>
          <w:sz w:val="20"/>
          <w:szCs w:val="20"/>
        </w:rPr>
      </w:pPr>
    </w:p>
    <w:p w14:paraId="68097A37" w14:textId="77777777" w:rsidR="009A6CFA" w:rsidRDefault="009A6CFA" w:rsidP="009A6CFA">
      <w:pPr>
        <w:pStyle w:val="NormalWeb"/>
        <w:spacing w:before="240" w:beforeAutospacing="0"/>
        <w:rPr>
          <w:rFonts w:ascii="Arial" w:hAnsi="Arial" w:cs="Arial"/>
          <w:bCs/>
          <w:color w:val="000000"/>
          <w:sz w:val="20"/>
          <w:szCs w:val="20"/>
        </w:rPr>
      </w:pPr>
    </w:p>
    <w:p w14:paraId="4EA27775" w14:textId="77777777" w:rsidR="009A6CFA" w:rsidRDefault="009A6CFA" w:rsidP="009A6CFA">
      <w:pPr>
        <w:pStyle w:val="NormalWeb"/>
        <w:spacing w:before="240" w:beforeAutospacing="0"/>
        <w:rPr>
          <w:rFonts w:ascii="Arial" w:hAnsi="Arial" w:cs="Arial"/>
          <w:bCs/>
          <w:color w:val="000000"/>
          <w:sz w:val="20"/>
          <w:szCs w:val="20"/>
        </w:rPr>
      </w:pPr>
    </w:p>
    <w:p w14:paraId="49CD976C" w14:textId="77777777" w:rsidR="009A6CFA" w:rsidRDefault="009A6CFA" w:rsidP="009A6CFA">
      <w:pPr>
        <w:pStyle w:val="NormalWeb"/>
        <w:spacing w:before="240" w:beforeAutospacing="0"/>
        <w:rPr>
          <w:rFonts w:ascii="Arial" w:hAnsi="Arial" w:cs="Arial"/>
          <w:bCs/>
          <w:color w:val="000000"/>
          <w:sz w:val="20"/>
          <w:szCs w:val="20"/>
        </w:rPr>
      </w:pPr>
    </w:p>
    <w:bookmarkEnd w:id="34"/>
    <w:p w14:paraId="79B185CA" w14:textId="77777777" w:rsidR="009A6CFA" w:rsidRDefault="009A6CFA" w:rsidP="009A6CFA">
      <w:pPr>
        <w:rPr>
          <w:lang w:val="en-US"/>
        </w:rPr>
      </w:pPr>
    </w:p>
    <w:p w14:paraId="6DB2191B" w14:textId="77777777" w:rsidR="009A6CFA" w:rsidRDefault="009A6CFA" w:rsidP="009A6CFA">
      <w:pPr>
        <w:pStyle w:val="NormalWeb"/>
        <w:spacing w:before="240" w:beforeAutospacing="0"/>
        <w:rPr>
          <w:rFonts w:ascii="Arial" w:hAnsi="Arial" w:cs="Arial"/>
          <w:b/>
          <w:bCs/>
          <w:color w:val="000000"/>
          <w:sz w:val="20"/>
          <w:szCs w:val="20"/>
        </w:rPr>
      </w:pPr>
      <w:bookmarkStart w:id="35" w:name="OLE_LINK78"/>
      <w:bookmarkStart w:id="36" w:name="_Hlk141826628"/>
      <w:r>
        <w:rPr>
          <w:rFonts w:ascii="Arial" w:hAnsi="Arial" w:cs="Arial"/>
          <w:b/>
          <w:bCs/>
          <w:color w:val="000000"/>
          <w:sz w:val="20"/>
          <w:szCs w:val="20"/>
        </w:rPr>
        <w:lastRenderedPageBreak/>
        <w:t>Risk Management and Inter-Bank Dealings - Non-deliverable derivative contracts (NDDCs)</w:t>
      </w:r>
    </w:p>
    <w:bookmarkEnd w:id="35"/>
    <w:p w14:paraId="647A018B"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RBI/2023-24/36</w:t>
      </w:r>
      <w:r>
        <w:rPr>
          <w:rFonts w:ascii="Arial" w:hAnsi="Arial" w:cs="Arial"/>
          <w:color w:val="000000"/>
          <w:sz w:val="20"/>
          <w:szCs w:val="20"/>
        </w:rPr>
        <w:br/>
        <w:t>A. P. (DIR Series) Circular No. 05</w:t>
      </w:r>
    </w:p>
    <w:p w14:paraId="379A0F15"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June 06, 2023</w:t>
      </w:r>
    </w:p>
    <w:p w14:paraId="2C416D73"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All Authorised Dealer Category – I Banks</w:t>
      </w:r>
    </w:p>
    <w:p w14:paraId="65109FEE"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Madam / Sir,</w:t>
      </w:r>
    </w:p>
    <w:p w14:paraId="49D44E6B" w14:textId="77777777" w:rsidR="009A6CFA" w:rsidRDefault="009A6CFA" w:rsidP="009A6CFA">
      <w:pPr>
        <w:pStyle w:val="head"/>
        <w:jc w:val="both"/>
        <w:rPr>
          <w:rFonts w:ascii="Arial" w:hAnsi="Arial" w:cs="Arial"/>
          <w:b/>
          <w:bCs/>
          <w:color w:val="000000"/>
          <w:sz w:val="20"/>
          <w:szCs w:val="20"/>
        </w:rPr>
      </w:pPr>
      <w:r>
        <w:rPr>
          <w:rFonts w:ascii="Arial" w:hAnsi="Arial" w:cs="Arial"/>
          <w:b/>
          <w:bCs/>
          <w:color w:val="000000"/>
          <w:sz w:val="20"/>
          <w:szCs w:val="20"/>
        </w:rPr>
        <w:t>Risk Management and Inter-Bank Dealings - Non-deliverable derivative contracts (NDDCs)</w:t>
      </w:r>
    </w:p>
    <w:p w14:paraId="70D13A5B"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67"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announced as a part of the </w:t>
      </w:r>
      <w:hyperlink r:id="rId68" w:tgtFrame="_blank" w:history="1">
        <w:r>
          <w:rPr>
            <w:rStyle w:val="Hyperlink"/>
            <w:rFonts w:ascii="Arial" w:hAnsi="Arial" w:cs="Arial"/>
            <w:sz w:val="20"/>
            <w:szCs w:val="20"/>
          </w:rPr>
          <w:t>first Bi-monthly Monetary Policy Statement for 2023-24 dated April 06, 2023</w:t>
        </w:r>
      </w:hyperlink>
      <w:r>
        <w:rPr>
          <w:rFonts w:ascii="Arial" w:hAnsi="Arial" w:cs="Arial"/>
          <w:color w:val="000000"/>
          <w:sz w:val="20"/>
          <w:szCs w:val="20"/>
        </w:rPr>
        <w:t> regarding development of the onshore non-deliverable derivative market. Attention of Authorised Dealers Category – I (AD Cat-I) banks is invited to the Foreign Exchange Management (Foreign Exchange Derivative Contracts) Regulations, 2000 dated May 3, 2000 (</w:t>
      </w:r>
      <w:hyperlink r:id="rId69" w:tgtFrame="_blank" w:history="1">
        <w:r>
          <w:rPr>
            <w:rStyle w:val="Hyperlink"/>
            <w:rFonts w:ascii="Arial" w:hAnsi="Arial" w:cs="Arial"/>
            <w:sz w:val="20"/>
            <w:szCs w:val="20"/>
          </w:rPr>
          <w:t>Notification No. FEMA.25/RB-2000 dated May 3, 2000</w:t>
        </w:r>
      </w:hyperlink>
      <w:r>
        <w:rPr>
          <w:rFonts w:ascii="Arial" w:hAnsi="Arial" w:cs="Arial"/>
          <w:color w:val="000000"/>
          <w:sz w:val="20"/>
          <w:szCs w:val="20"/>
        </w:rPr>
        <w:t>), as amended from time to time, and </w:t>
      </w:r>
      <w:hyperlink r:id="rId70"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w:t>
      </w:r>
    </w:p>
    <w:p w14:paraId="25B8ACF2"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2. As per the extant regulatory framework, AD Cat-I banks operating International Financial Services Centre (IFSC) Banking Units (IBUs) are permitted to offer non-deliverable derivative contracts (NDDCs) to persons resident outside India. Such derivatives are cash-settled in foreign currency. With a view to developing the onshore INR NDDC market and providing residents the flexibility to efficiently design their hedging programmes, it has been decided to permit:</w:t>
      </w:r>
    </w:p>
    <w:p w14:paraId="38CF8B5E"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(a) AD Cat-I banks operating IBUs to offer NDDCs involving INR to resident non-retail users for the purpose of hedging. Such transactions shall be cash settled in INR; and</w:t>
      </w:r>
    </w:p>
    <w:p w14:paraId="0D226B9E"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(b) The flexibility of cash settlement of NDDCs transactions between two AD Cat-I banks, and between an AD Cat-I bank and a person resident outside India in INR or any foreign currency.</w:t>
      </w:r>
    </w:p>
    <w:p w14:paraId="7C875766"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3. Accordingly, the amendments being made to the </w:t>
      </w:r>
      <w:hyperlink r:id="rId71"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 are placed at </w:t>
      </w:r>
      <w:hyperlink r:id="rId72" w:anchor="AS" w:history="1">
        <w:r>
          <w:rPr>
            <w:rStyle w:val="Hyperlink"/>
            <w:rFonts w:ascii="Arial" w:hAnsi="Arial" w:cs="Arial"/>
            <w:sz w:val="20"/>
            <w:szCs w:val="20"/>
          </w:rPr>
          <w:t>Annex</w:t>
        </w:r>
      </w:hyperlink>
      <w:r>
        <w:rPr>
          <w:rFonts w:ascii="Arial" w:hAnsi="Arial" w:cs="Arial"/>
          <w:color w:val="000000"/>
          <w:sz w:val="20"/>
          <w:szCs w:val="20"/>
        </w:rPr>
        <w:t> herewith.</w:t>
      </w:r>
    </w:p>
    <w:p w14:paraId="6F30DD70" w14:textId="77777777" w:rsidR="009A6CFA" w:rsidRDefault="009A6CFA" w:rsidP="009A6CFA">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 approvals, if any, required under any other law.</w:t>
      </w:r>
    </w:p>
    <w:p w14:paraId="40ABF56B"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Yours faithfully,</w:t>
      </w:r>
    </w:p>
    <w:p w14:paraId="1FF2DAB9" w14:textId="77777777" w:rsidR="009A6CFA" w:rsidRDefault="009A6CFA" w:rsidP="009A6CFA">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42BD9E4F" w14:textId="77777777" w:rsidR="009A6CFA" w:rsidRDefault="009A6CFA" w:rsidP="009A6CFA">
      <w:pPr>
        <w:pStyle w:val="NormalWeb"/>
        <w:spacing w:before="240" w:beforeAutospacing="0"/>
        <w:rPr>
          <w:rFonts w:ascii="Arial" w:hAnsi="Arial" w:cs="Arial"/>
          <w:bCs/>
          <w:color w:val="000000"/>
          <w:sz w:val="20"/>
          <w:szCs w:val="20"/>
        </w:rPr>
      </w:pPr>
    </w:p>
    <w:p w14:paraId="7F6F11E4" w14:textId="77777777" w:rsidR="009A6CFA" w:rsidRDefault="009A6CFA" w:rsidP="009A6CFA">
      <w:pPr>
        <w:spacing w:before="240" w:after="0"/>
      </w:pPr>
      <w:r>
        <w:t>More details can be referred to in the below link.</w:t>
      </w:r>
    </w:p>
    <w:p w14:paraId="630E45D2" w14:textId="77777777" w:rsidR="009A6CFA" w:rsidRDefault="009A6CFA" w:rsidP="009A6CFA">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73" w:history="1">
        <w:r w:rsidRPr="005F425E">
          <w:rPr>
            <w:rStyle w:val="Hyperlink"/>
            <w:rFonts w:ascii="Arial" w:hAnsi="Arial" w:cs="Arial"/>
            <w:bCs/>
            <w:sz w:val="20"/>
            <w:szCs w:val="20"/>
          </w:rPr>
          <w:t>https://rbi.org.in/Scripts/NotificationUser.aspx?Id=12509&amp;Mode=0</w:t>
        </w:r>
      </w:hyperlink>
    </w:p>
    <w:p w14:paraId="35997C01" w14:textId="77777777" w:rsidR="009A6CFA" w:rsidRDefault="009A6CFA" w:rsidP="009A6CFA">
      <w:pPr>
        <w:pStyle w:val="NormalWeb"/>
        <w:spacing w:before="240" w:beforeAutospacing="0"/>
        <w:rPr>
          <w:rFonts w:ascii="Arial" w:hAnsi="Arial" w:cs="Arial"/>
          <w:bCs/>
          <w:color w:val="000000"/>
          <w:sz w:val="20"/>
          <w:szCs w:val="20"/>
        </w:rPr>
      </w:pPr>
    </w:p>
    <w:p w14:paraId="5C370FB9" w14:textId="77777777" w:rsidR="009A6CFA" w:rsidRDefault="009A6CFA" w:rsidP="009A6CFA">
      <w:pPr>
        <w:pStyle w:val="NormalWeb"/>
        <w:spacing w:before="240" w:beforeAutospacing="0"/>
        <w:rPr>
          <w:rFonts w:ascii="Arial" w:hAnsi="Arial" w:cs="Arial"/>
          <w:bCs/>
          <w:color w:val="000000"/>
          <w:sz w:val="20"/>
          <w:szCs w:val="20"/>
        </w:rPr>
      </w:pPr>
    </w:p>
    <w:bookmarkEnd w:id="36"/>
    <w:p w14:paraId="6C3CD6B3" w14:textId="77777777" w:rsidR="009A6CFA" w:rsidRDefault="009A6CFA" w:rsidP="009A6CFA">
      <w:pPr>
        <w:rPr>
          <w:lang w:val="en-US"/>
        </w:rPr>
      </w:pPr>
    </w:p>
    <w:p w14:paraId="4A460624" w14:textId="77777777" w:rsidR="00AE7566" w:rsidRDefault="00AE7566" w:rsidP="00AE7566">
      <w:pPr>
        <w:pStyle w:val="NormalWeb"/>
        <w:spacing w:before="240" w:beforeAutospacing="0"/>
        <w:rPr>
          <w:rFonts w:ascii="Arial" w:hAnsi="Arial" w:cs="Arial"/>
          <w:b/>
          <w:bCs/>
          <w:color w:val="000000"/>
          <w:sz w:val="20"/>
          <w:szCs w:val="20"/>
        </w:rPr>
      </w:pPr>
      <w:bookmarkStart w:id="37" w:name="_Hlk141827828"/>
      <w:r>
        <w:rPr>
          <w:rFonts w:ascii="Arial" w:hAnsi="Arial" w:cs="Arial"/>
          <w:b/>
          <w:bCs/>
          <w:color w:val="000000"/>
          <w:sz w:val="20"/>
          <w:szCs w:val="20"/>
        </w:rPr>
        <w:lastRenderedPageBreak/>
        <w:t>Framework for Compromise Settlements and Technical Write-offs</w:t>
      </w:r>
    </w:p>
    <w:p w14:paraId="7B666A71"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RBI/2023-24/40</w:t>
      </w:r>
      <w:r>
        <w:rPr>
          <w:rFonts w:ascii="Arial" w:hAnsi="Arial" w:cs="Arial"/>
          <w:color w:val="000000"/>
          <w:sz w:val="20"/>
          <w:szCs w:val="20"/>
        </w:rPr>
        <w:br/>
        <w:t>DOR.STR.REC.20/21.04.048/2023-24</w:t>
      </w:r>
    </w:p>
    <w:p w14:paraId="230E6950" w14:textId="77777777" w:rsidR="00AE7566" w:rsidRDefault="00AE7566" w:rsidP="00AE7566">
      <w:pPr>
        <w:pStyle w:val="NormalWeb"/>
        <w:jc w:val="right"/>
        <w:rPr>
          <w:rFonts w:ascii="Arial" w:hAnsi="Arial" w:cs="Arial"/>
          <w:color w:val="000000"/>
          <w:sz w:val="20"/>
          <w:szCs w:val="20"/>
        </w:rPr>
      </w:pPr>
      <w:r>
        <w:rPr>
          <w:rFonts w:ascii="Arial" w:hAnsi="Arial" w:cs="Arial"/>
          <w:color w:val="000000"/>
          <w:sz w:val="20"/>
          <w:szCs w:val="20"/>
        </w:rPr>
        <w:t>June 08, 2023</w:t>
      </w:r>
    </w:p>
    <w:p w14:paraId="7AEAEA11" w14:textId="77777777" w:rsidR="00AE7566" w:rsidRDefault="00AE7566" w:rsidP="00AE7566">
      <w:pPr>
        <w:pStyle w:val="NormalWeb"/>
        <w:rPr>
          <w:rFonts w:ascii="Arial" w:hAnsi="Arial" w:cs="Arial"/>
          <w:color w:val="000000"/>
          <w:sz w:val="20"/>
          <w:szCs w:val="20"/>
        </w:rPr>
      </w:pPr>
      <w:r>
        <w:rPr>
          <w:rFonts w:ascii="Arial" w:hAnsi="Arial" w:cs="Arial"/>
          <w:color w:val="000000"/>
          <w:sz w:val="20"/>
          <w:szCs w:val="20"/>
        </w:rPr>
        <w:t>Commercial Banks (including Small Finance Banks, Local Area Banks and Regional Rural Banks)</w:t>
      </w:r>
      <w:r>
        <w:rPr>
          <w:rFonts w:ascii="Arial" w:hAnsi="Arial" w:cs="Arial"/>
          <w:color w:val="000000"/>
          <w:sz w:val="20"/>
          <w:szCs w:val="20"/>
        </w:rPr>
        <w:br/>
        <w:t>Primary (Urban) Co-operative Banks/State Co-operative Banks/ Central Co-operative Banks</w:t>
      </w:r>
      <w:r>
        <w:rPr>
          <w:rFonts w:ascii="Arial" w:hAnsi="Arial" w:cs="Arial"/>
          <w:color w:val="000000"/>
          <w:sz w:val="20"/>
          <w:szCs w:val="20"/>
        </w:rPr>
        <w:br/>
        <w:t>All-India Financial Institutions</w:t>
      </w:r>
      <w:r>
        <w:rPr>
          <w:rFonts w:ascii="Arial" w:hAnsi="Arial" w:cs="Arial"/>
          <w:color w:val="000000"/>
          <w:sz w:val="20"/>
          <w:szCs w:val="20"/>
        </w:rPr>
        <w:br/>
        <w:t>Non-Banking Financial Companies (including Housing Finance Companies)</w:t>
      </w:r>
    </w:p>
    <w:p w14:paraId="21227D5F"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Madam/Dear Sir,</w:t>
      </w:r>
    </w:p>
    <w:p w14:paraId="43306E44" w14:textId="77777777" w:rsidR="00AE7566" w:rsidRDefault="00AE7566" w:rsidP="00AE7566">
      <w:pPr>
        <w:pStyle w:val="head"/>
        <w:jc w:val="both"/>
        <w:rPr>
          <w:rFonts w:ascii="Arial" w:hAnsi="Arial" w:cs="Arial"/>
          <w:b/>
          <w:bCs/>
          <w:color w:val="000000"/>
          <w:sz w:val="20"/>
          <w:szCs w:val="20"/>
        </w:rPr>
      </w:pPr>
      <w:r>
        <w:rPr>
          <w:rFonts w:ascii="Arial" w:hAnsi="Arial" w:cs="Arial"/>
          <w:b/>
          <w:bCs/>
          <w:color w:val="000000"/>
          <w:sz w:val="20"/>
          <w:szCs w:val="20"/>
        </w:rPr>
        <w:t>Framework for Compromise Settlements and Technical Write-offs</w:t>
      </w:r>
    </w:p>
    <w:p w14:paraId="34030EDB"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The Reserve Bank of India has issued various instructions to regulated entities (REs) regarding compromise settlements in respect of stressed accounts from time to time, including the </w:t>
      </w:r>
      <w:hyperlink r:id="rId74" w:tgtFrame="_blank" w:history="1">
        <w:r>
          <w:rPr>
            <w:rStyle w:val="Hyperlink"/>
            <w:rFonts w:ascii="Arial" w:hAnsi="Arial" w:cs="Arial"/>
            <w:sz w:val="20"/>
            <w:szCs w:val="20"/>
          </w:rPr>
          <w:t>Prudential Framework for Resolution of Stressed Assets dated June 7, 2019</w:t>
        </w:r>
      </w:hyperlink>
      <w:r>
        <w:rPr>
          <w:rFonts w:ascii="Arial" w:hAnsi="Arial" w:cs="Arial"/>
          <w:color w:val="000000"/>
          <w:sz w:val="20"/>
          <w:szCs w:val="20"/>
        </w:rPr>
        <w:t> (</w:t>
      </w:r>
      <w:r>
        <w:rPr>
          <w:rStyle w:val="head1"/>
          <w:rFonts w:ascii="Arial" w:hAnsi="Arial" w:cs="Arial"/>
          <w:b/>
          <w:bCs/>
          <w:color w:val="000000"/>
          <w:sz w:val="20"/>
          <w:szCs w:val="20"/>
        </w:rPr>
        <w:t>“Prudential Framework”</w:t>
      </w:r>
      <w:r>
        <w:rPr>
          <w:rFonts w:ascii="Arial" w:hAnsi="Arial" w:cs="Arial"/>
          <w:color w:val="000000"/>
          <w:sz w:val="20"/>
          <w:szCs w:val="20"/>
        </w:rPr>
        <w:t>), which recognises compromise settlements as a valid resolution plan. With a view to provide further impetus to resolution of stressed assets in the system as well as to rationalise and harmonise the instructions across all REs, as announced in the </w:t>
      </w:r>
      <w:hyperlink r:id="rId75" w:tgtFrame="_blank" w:history="1">
        <w:r>
          <w:rPr>
            <w:rStyle w:val="Hyperlink"/>
            <w:rFonts w:ascii="Arial" w:hAnsi="Arial" w:cs="Arial"/>
            <w:sz w:val="20"/>
            <w:szCs w:val="20"/>
          </w:rPr>
          <w:t>Statement on Developmental and Regulatory Policies released on June 8, 2023</w:t>
        </w:r>
      </w:hyperlink>
      <w:r>
        <w:rPr>
          <w:rFonts w:ascii="Arial" w:hAnsi="Arial" w:cs="Arial"/>
          <w:color w:val="000000"/>
          <w:sz w:val="20"/>
          <w:szCs w:val="20"/>
        </w:rPr>
        <w:t>, it has been decided to issue a comprehensive regulatory framework governing compromise settlements and technical write-offs covering all the REs, as detailed in the </w:t>
      </w:r>
      <w:hyperlink r:id="rId76" w:anchor="AN" w:history="1">
        <w:r>
          <w:rPr>
            <w:rStyle w:val="Hyperlink"/>
            <w:rFonts w:ascii="Arial" w:hAnsi="Arial" w:cs="Arial"/>
            <w:sz w:val="20"/>
            <w:szCs w:val="20"/>
          </w:rPr>
          <w:t>Annex</w:t>
        </w:r>
      </w:hyperlink>
      <w:r>
        <w:rPr>
          <w:rFonts w:ascii="Arial" w:hAnsi="Arial" w:cs="Arial"/>
          <w:color w:val="000000"/>
          <w:sz w:val="20"/>
          <w:szCs w:val="20"/>
        </w:rPr>
        <w:t>.</w:t>
      </w:r>
    </w:p>
    <w:p w14:paraId="745DAD77"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2. The provisions of this framework shall be applicable to all REs to which this circular is addressed and shall be without prejudice to the provisions of the Prudential Framework, or any other guidelines applicable to the REs on resolution of stressed assets.</w:t>
      </w:r>
    </w:p>
    <w:p w14:paraId="48D49A21"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3. These instructions on operationalising the framework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 They shall come into force with immediate effect and REs shall take necessary steps to ensure compliance with these instructions.</w:t>
      </w:r>
    </w:p>
    <w:p w14:paraId="1F29AD0C"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Yours faithfully,</w:t>
      </w:r>
    </w:p>
    <w:p w14:paraId="1CE05CA9" w14:textId="77777777" w:rsidR="00AE7566" w:rsidRDefault="00AE7566" w:rsidP="00AE756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664F74D1" w14:textId="77777777" w:rsidR="00AE7566" w:rsidRDefault="00AE7566" w:rsidP="00AE7566">
      <w:pPr>
        <w:pStyle w:val="NormalWeb"/>
        <w:spacing w:before="240" w:beforeAutospacing="0"/>
        <w:rPr>
          <w:rFonts w:ascii="Arial" w:hAnsi="Arial" w:cs="Arial"/>
          <w:color w:val="000000"/>
          <w:sz w:val="20"/>
          <w:szCs w:val="20"/>
        </w:rPr>
      </w:pPr>
    </w:p>
    <w:p w14:paraId="11416353" w14:textId="77777777" w:rsidR="00AE7566" w:rsidRDefault="00AE7566" w:rsidP="00AE7566">
      <w:pPr>
        <w:spacing w:before="240" w:after="0"/>
      </w:pPr>
      <w:r>
        <w:t>More details can be referred to in the below link.</w:t>
      </w:r>
    </w:p>
    <w:p w14:paraId="148C2220" w14:textId="77777777" w:rsidR="00AE7566" w:rsidRDefault="00AE7566" w:rsidP="00AE7566">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77" w:history="1">
        <w:r w:rsidRPr="005F425E">
          <w:rPr>
            <w:rStyle w:val="Hyperlink"/>
            <w:rFonts w:ascii="Arial" w:hAnsi="Arial" w:cs="Arial"/>
            <w:bCs/>
            <w:sz w:val="20"/>
            <w:szCs w:val="20"/>
          </w:rPr>
          <w:t>https://rbi.org.in/Scripts/NotificationUser.aspx?Id=12513&amp;Mode=0</w:t>
        </w:r>
      </w:hyperlink>
    </w:p>
    <w:p w14:paraId="5F05D73A" w14:textId="77777777" w:rsidR="00AE7566" w:rsidRDefault="00AE7566" w:rsidP="00AE7566">
      <w:pPr>
        <w:pStyle w:val="NormalWeb"/>
        <w:spacing w:before="240" w:beforeAutospacing="0"/>
        <w:rPr>
          <w:rFonts w:ascii="Arial" w:hAnsi="Arial" w:cs="Arial"/>
          <w:bCs/>
          <w:color w:val="000000"/>
          <w:sz w:val="20"/>
          <w:szCs w:val="20"/>
        </w:rPr>
      </w:pPr>
    </w:p>
    <w:p w14:paraId="7E1EAF59" w14:textId="77777777" w:rsidR="00AE7566" w:rsidRDefault="00AE7566" w:rsidP="00AE7566">
      <w:pPr>
        <w:pStyle w:val="NormalWeb"/>
        <w:spacing w:before="240" w:beforeAutospacing="0"/>
        <w:rPr>
          <w:rFonts w:ascii="Arial" w:hAnsi="Arial" w:cs="Arial"/>
          <w:bCs/>
          <w:color w:val="000000"/>
          <w:sz w:val="20"/>
          <w:szCs w:val="20"/>
        </w:rPr>
      </w:pPr>
    </w:p>
    <w:p w14:paraId="7A39DD05" w14:textId="77777777" w:rsidR="00AE7566" w:rsidRDefault="00AE7566" w:rsidP="00AE7566">
      <w:pPr>
        <w:pStyle w:val="NormalWeb"/>
        <w:spacing w:before="240" w:beforeAutospacing="0"/>
        <w:rPr>
          <w:rFonts w:ascii="Arial" w:hAnsi="Arial" w:cs="Arial"/>
          <w:bCs/>
          <w:color w:val="000000"/>
          <w:sz w:val="20"/>
          <w:szCs w:val="20"/>
        </w:rPr>
      </w:pPr>
    </w:p>
    <w:p w14:paraId="18E0F40B" w14:textId="77777777" w:rsidR="00AE7566" w:rsidRDefault="00AE7566" w:rsidP="00AE7566">
      <w:pPr>
        <w:pStyle w:val="NormalWeb"/>
        <w:spacing w:before="240" w:beforeAutospacing="0"/>
        <w:rPr>
          <w:rFonts w:ascii="Arial" w:hAnsi="Arial" w:cs="Arial"/>
          <w:bCs/>
          <w:color w:val="000000"/>
          <w:sz w:val="20"/>
          <w:szCs w:val="20"/>
        </w:rPr>
      </w:pPr>
    </w:p>
    <w:bookmarkEnd w:id="37"/>
    <w:p w14:paraId="3723C196" w14:textId="77777777" w:rsidR="00AE7566" w:rsidRDefault="00AE7566" w:rsidP="009A6CFA">
      <w:pPr>
        <w:rPr>
          <w:lang w:val="en-US"/>
        </w:rPr>
      </w:pPr>
    </w:p>
    <w:p w14:paraId="452F0357" w14:textId="77777777" w:rsidR="00AE7566" w:rsidRDefault="00AE7566" w:rsidP="00AE7566">
      <w:pPr>
        <w:pStyle w:val="NormalWeb"/>
        <w:spacing w:before="240" w:beforeAutospacing="0"/>
        <w:rPr>
          <w:rFonts w:ascii="Arial" w:hAnsi="Arial" w:cs="Arial"/>
          <w:b/>
          <w:bCs/>
          <w:color w:val="000000"/>
          <w:sz w:val="20"/>
          <w:szCs w:val="20"/>
        </w:rPr>
      </w:pPr>
      <w:bookmarkStart w:id="38" w:name="OLE_LINK82"/>
      <w:bookmarkStart w:id="39" w:name="_Hlk141826701"/>
      <w:r>
        <w:rPr>
          <w:rFonts w:ascii="Arial" w:hAnsi="Arial" w:cs="Arial"/>
          <w:b/>
          <w:bCs/>
          <w:color w:val="000000"/>
          <w:sz w:val="20"/>
          <w:szCs w:val="20"/>
        </w:rPr>
        <w:lastRenderedPageBreak/>
        <w:t>Guidelines on Default Loss Guarantee (DLG) in Digital Lending</w:t>
      </w:r>
    </w:p>
    <w:bookmarkEnd w:id="38"/>
    <w:p w14:paraId="379FF2E1"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RBI/2023-24/41</w:t>
      </w:r>
      <w:r>
        <w:rPr>
          <w:rFonts w:ascii="Arial" w:hAnsi="Arial" w:cs="Arial"/>
          <w:color w:val="000000"/>
          <w:sz w:val="20"/>
          <w:szCs w:val="20"/>
        </w:rPr>
        <w:br/>
        <w:t>DOR.CRE.REC.21/21.07.001/2023-24</w:t>
      </w:r>
    </w:p>
    <w:p w14:paraId="0E356627" w14:textId="77777777" w:rsidR="00AE7566" w:rsidRDefault="00AE7566" w:rsidP="00AE7566">
      <w:pPr>
        <w:pStyle w:val="NormalWeb"/>
        <w:jc w:val="right"/>
        <w:rPr>
          <w:rFonts w:ascii="Arial" w:hAnsi="Arial" w:cs="Arial"/>
          <w:color w:val="000000"/>
          <w:sz w:val="20"/>
          <w:szCs w:val="20"/>
        </w:rPr>
      </w:pPr>
      <w:r>
        <w:rPr>
          <w:rFonts w:ascii="Arial" w:hAnsi="Arial" w:cs="Arial"/>
          <w:color w:val="000000"/>
          <w:sz w:val="20"/>
          <w:szCs w:val="20"/>
        </w:rPr>
        <w:t>June 08, 2023</w:t>
      </w:r>
    </w:p>
    <w:p w14:paraId="319C936D" w14:textId="77777777" w:rsidR="00AE7566" w:rsidRDefault="00AE7566" w:rsidP="00AE7566">
      <w:pPr>
        <w:pStyle w:val="NormalWeb"/>
        <w:rPr>
          <w:rFonts w:ascii="Arial" w:hAnsi="Arial" w:cs="Arial"/>
          <w:color w:val="000000"/>
          <w:sz w:val="20"/>
          <w:szCs w:val="20"/>
        </w:rPr>
      </w:pPr>
      <w:r>
        <w:rPr>
          <w:rFonts w:ascii="Arial" w:hAnsi="Arial" w:cs="Arial"/>
          <w:color w:val="000000"/>
          <w:sz w:val="20"/>
          <w:szCs w:val="20"/>
        </w:rPr>
        <w:t>All Commercial Banks (including Small Finance Banks),</w:t>
      </w:r>
      <w:r>
        <w:rPr>
          <w:rFonts w:ascii="Arial" w:hAnsi="Arial" w:cs="Arial"/>
          <w:color w:val="000000"/>
          <w:sz w:val="20"/>
          <w:szCs w:val="20"/>
        </w:rPr>
        <w:br/>
        <w:t>Primary (Urban) Co-operative Banks, State Co-operative Banks,</w:t>
      </w:r>
      <w:r>
        <w:rPr>
          <w:rFonts w:ascii="Arial" w:hAnsi="Arial" w:cs="Arial"/>
          <w:color w:val="000000"/>
          <w:sz w:val="20"/>
          <w:szCs w:val="20"/>
        </w:rPr>
        <w:br/>
        <w:t>Central Co-operative Banks; and</w:t>
      </w:r>
      <w:r>
        <w:rPr>
          <w:rFonts w:ascii="Arial" w:hAnsi="Arial" w:cs="Arial"/>
          <w:color w:val="000000"/>
          <w:sz w:val="20"/>
          <w:szCs w:val="20"/>
        </w:rPr>
        <w:br/>
        <w:t>Non-Banking Financial Companies (including Housing Finance Companies)</w:t>
      </w:r>
    </w:p>
    <w:p w14:paraId="5ED08B59"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Madam/ Dear Sir,</w:t>
      </w:r>
    </w:p>
    <w:p w14:paraId="017EAB81" w14:textId="77777777" w:rsidR="00AE7566" w:rsidRDefault="00AE7566" w:rsidP="00AE7566">
      <w:pPr>
        <w:pStyle w:val="head"/>
        <w:jc w:val="center"/>
        <w:rPr>
          <w:rFonts w:ascii="Arial" w:hAnsi="Arial" w:cs="Arial"/>
          <w:b/>
          <w:bCs/>
          <w:color w:val="000000"/>
          <w:sz w:val="20"/>
          <w:szCs w:val="20"/>
        </w:rPr>
      </w:pPr>
      <w:r>
        <w:rPr>
          <w:rFonts w:ascii="Arial" w:hAnsi="Arial" w:cs="Arial"/>
          <w:b/>
          <w:bCs/>
          <w:color w:val="000000"/>
          <w:sz w:val="20"/>
          <w:szCs w:val="20"/>
        </w:rPr>
        <w:t>Guidelines on Default Loss Guarantee (DLG) in Digital Lending</w:t>
      </w:r>
    </w:p>
    <w:p w14:paraId="738622FE"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A reference is invited to Para (3.4.3.1) of Section C of Annex-II to the </w:t>
      </w:r>
      <w:hyperlink r:id="rId78" w:tgtFrame="_blank" w:history="1">
        <w:r>
          <w:rPr>
            <w:rStyle w:val="Hyperlink"/>
            <w:rFonts w:ascii="Arial" w:hAnsi="Arial" w:cs="Arial"/>
            <w:sz w:val="20"/>
            <w:szCs w:val="20"/>
          </w:rPr>
          <w:t>RBI Press Release “Recommendations of the Working group on Digital Lending – Implementation” dated August 10, 2022</w:t>
        </w:r>
      </w:hyperlink>
      <w:r>
        <w:rPr>
          <w:rFonts w:ascii="Arial" w:hAnsi="Arial" w:cs="Arial"/>
          <w:color w:val="000000"/>
          <w:sz w:val="20"/>
          <w:szCs w:val="20"/>
        </w:rPr>
        <w:t> in terms of which it was stated that the recommendation pertaining to First Loss Default Guarantee (FLDG) was under examination with the Reserve Bank.</w:t>
      </w:r>
    </w:p>
    <w:p w14:paraId="7BF94DC7"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2. Arrangements between Regulated Entities (REs) and Lending Service Providers (LSPs) or between two REs involving default loss guarantee (DLG), commonly known as FLDG, has since been examined by the Bank and it has been decided to permit such arrangements subject to the guidelines laid down in the </w:t>
      </w:r>
      <w:hyperlink r:id="rId79" w:anchor="AN" w:history="1">
        <w:r>
          <w:rPr>
            <w:rStyle w:val="Hyperlink"/>
            <w:rFonts w:ascii="Arial" w:hAnsi="Arial" w:cs="Arial"/>
            <w:sz w:val="20"/>
            <w:szCs w:val="20"/>
          </w:rPr>
          <w:t>Annex</w:t>
        </w:r>
      </w:hyperlink>
      <w:r>
        <w:rPr>
          <w:rFonts w:ascii="Arial" w:hAnsi="Arial" w:cs="Arial"/>
          <w:color w:val="000000"/>
          <w:sz w:val="20"/>
          <w:szCs w:val="20"/>
        </w:rPr>
        <w:t> to this circular. DLG arrangements conforming to these guidelines shall not be treated as ‘synthetic securitisation’</w:t>
      </w:r>
      <w:hyperlink r:id="rId80" w:anchor="FN1" w:history="1">
        <w:r>
          <w:rPr>
            <w:rStyle w:val="Hyperlink"/>
            <w:rFonts w:ascii="Arial" w:hAnsi="Arial" w:cs="Arial"/>
            <w:sz w:val="15"/>
            <w:szCs w:val="15"/>
            <w:vertAlign w:val="superscript"/>
          </w:rPr>
          <w:t>1</w:t>
        </w:r>
      </w:hyperlink>
      <w:r>
        <w:rPr>
          <w:rFonts w:ascii="Arial" w:hAnsi="Arial" w:cs="Arial"/>
          <w:color w:val="000000"/>
          <w:sz w:val="20"/>
          <w:szCs w:val="20"/>
        </w:rPr>
        <w:t> and/or shall also not attract the provisions of ‘loan participation’</w:t>
      </w:r>
      <w:hyperlink r:id="rId81" w:anchor="FN2" w:history="1">
        <w:r>
          <w:rPr>
            <w:rStyle w:val="Hyperlink"/>
            <w:rFonts w:ascii="Arial" w:hAnsi="Arial" w:cs="Arial"/>
            <w:sz w:val="15"/>
            <w:szCs w:val="15"/>
            <w:vertAlign w:val="superscript"/>
          </w:rPr>
          <w:t>2</w:t>
        </w:r>
      </w:hyperlink>
      <w:r>
        <w:rPr>
          <w:rFonts w:ascii="Arial" w:hAnsi="Arial" w:cs="Arial"/>
          <w:color w:val="000000"/>
          <w:sz w:val="20"/>
          <w:szCs w:val="20"/>
        </w:rPr>
        <w:t>.</w:t>
      </w:r>
    </w:p>
    <w:p w14:paraId="2629B911"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3. The guidelines shall come into effect from the date of this Circular.</w:t>
      </w:r>
    </w:p>
    <w:p w14:paraId="29AD78B3"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 30A of the National Housing Bank Act, 1987 and section 6 of the Factoring Regulation Act.</w:t>
      </w:r>
    </w:p>
    <w:p w14:paraId="7EFC355A"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Yours faithfully,</w:t>
      </w:r>
    </w:p>
    <w:p w14:paraId="2C97C518" w14:textId="77777777" w:rsidR="00AE7566" w:rsidRDefault="00AE7566" w:rsidP="00AE756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5570E5E3" w14:textId="77777777" w:rsidR="00AE7566" w:rsidRDefault="00AE7566" w:rsidP="00AE7566">
      <w:pPr>
        <w:spacing w:before="240" w:after="0"/>
      </w:pPr>
      <w:r>
        <w:t>More details can be referred to in the below link.</w:t>
      </w:r>
    </w:p>
    <w:p w14:paraId="673009D5" w14:textId="77777777" w:rsidR="00AE7566" w:rsidRDefault="00AE7566" w:rsidP="00AE756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82" w:history="1">
        <w:r w:rsidRPr="005F425E">
          <w:rPr>
            <w:rStyle w:val="Hyperlink"/>
            <w:rFonts w:ascii="Arial" w:hAnsi="Arial" w:cs="Arial"/>
            <w:bCs/>
            <w:sz w:val="20"/>
            <w:szCs w:val="20"/>
          </w:rPr>
          <w:t>https://rbi.org.in/Scripts/NotificationUser.aspx?Id=12514&amp;Mode=0</w:t>
        </w:r>
      </w:hyperlink>
    </w:p>
    <w:p w14:paraId="38F61E73" w14:textId="77777777" w:rsidR="00AE7566" w:rsidRDefault="00AE7566" w:rsidP="00AE7566">
      <w:pPr>
        <w:pStyle w:val="NormalWeb"/>
        <w:rPr>
          <w:rFonts w:ascii="Arial" w:hAnsi="Arial" w:cs="Arial"/>
          <w:bCs/>
          <w:color w:val="000000"/>
          <w:sz w:val="20"/>
          <w:szCs w:val="20"/>
        </w:rPr>
      </w:pPr>
    </w:p>
    <w:p w14:paraId="54FAF519" w14:textId="77777777" w:rsidR="00AE7566" w:rsidRDefault="00AE7566" w:rsidP="00AE7566">
      <w:pPr>
        <w:pStyle w:val="NormalWeb"/>
        <w:rPr>
          <w:rFonts w:ascii="Arial" w:hAnsi="Arial" w:cs="Arial"/>
          <w:bCs/>
          <w:color w:val="000000"/>
          <w:sz w:val="20"/>
          <w:szCs w:val="20"/>
        </w:rPr>
      </w:pPr>
    </w:p>
    <w:p w14:paraId="3A999953" w14:textId="77777777" w:rsidR="00AE7566" w:rsidRDefault="00AE7566" w:rsidP="00AE7566">
      <w:pPr>
        <w:pStyle w:val="NormalWeb"/>
        <w:rPr>
          <w:rFonts w:ascii="Arial" w:hAnsi="Arial" w:cs="Arial"/>
          <w:bCs/>
          <w:color w:val="000000"/>
          <w:sz w:val="20"/>
          <w:szCs w:val="20"/>
        </w:rPr>
      </w:pPr>
    </w:p>
    <w:p w14:paraId="319BC571" w14:textId="77777777" w:rsidR="00AE7566" w:rsidRDefault="00AE7566" w:rsidP="00AE7566">
      <w:pPr>
        <w:pStyle w:val="NormalWeb"/>
        <w:rPr>
          <w:rFonts w:ascii="Arial" w:hAnsi="Arial" w:cs="Arial"/>
          <w:bCs/>
          <w:color w:val="000000"/>
          <w:sz w:val="20"/>
          <w:szCs w:val="20"/>
        </w:rPr>
      </w:pPr>
    </w:p>
    <w:p w14:paraId="3FF2540C" w14:textId="77777777" w:rsidR="00AE7566" w:rsidRDefault="00AE7566" w:rsidP="00AE7566">
      <w:pPr>
        <w:pStyle w:val="NormalWeb"/>
        <w:rPr>
          <w:rFonts w:ascii="Arial" w:hAnsi="Arial" w:cs="Arial"/>
          <w:bCs/>
          <w:color w:val="000000"/>
          <w:sz w:val="20"/>
          <w:szCs w:val="20"/>
        </w:rPr>
      </w:pPr>
    </w:p>
    <w:p w14:paraId="4E8F1B96" w14:textId="77777777" w:rsidR="00AE7566" w:rsidRDefault="00AE7566" w:rsidP="00AE7566">
      <w:pPr>
        <w:pStyle w:val="NormalWeb"/>
        <w:rPr>
          <w:rFonts w:ascii="Arial" w:hAnsi="Arial" w:cs="Arial"/>
          <w:bCs/>
          <w:color w:val="000000"/>
          <w:sz w:val="20"/>
          <w:szCs w:val="20"/>
        </w:rPr>
      </w:pPr>
    </w:p>
    <w:bookmarkEnd w:id="39"/>
    <w:p w14:paraId="20B9F62C" w14:textId="77777777" w:rsidR="00AE7566" w:rsidRDefault="00AE7566" w:rsidP="009A6CFA">
      <w:pPr>
        <w:rPr>
          <w:lang w:val="en-US"/>
        </w:rPr>
      </w:pPr>
    </w:p>
    <w:p w14:paraId="1A609179" w14:textId="77777777" w:rsidR="00AE7566" w:rsidRDefault="00AE7566" w:rsidP="00AE7566">
      <w:pPr>
        <w:pStyle w:val="NormalWeb"/>
        <w:rPr>
          <w:rFonts w:ascii="Arial" w:hAnsi="Arial" w:cs="Arial"/>
          <w:b/>
          <w:bCs/>
          <w:color w:val="000000"/>
          <w:sz w:val="20"/>
          <w:szCs w:val="20"/>
        </w:rPr>
      </w:pPr>
      <w:bookmarkStart w:id="40" w:name="OLE_LINK83"/>
      <w:bookmarkStart w:id="41" w:name="_Hlk141826745"/>
      <w:r>
        <w:rPr>
          <w:rFonts w:ascii="Arial" w:hAnsi="Arial" w:cs="Arial"/>
          <w:b/>
          <w:bCs/>
          <w:color w:val="000000"/>
          <w:sz w:val="20"/>
          <w:szCs w:val="20"/>
        </w:rPr>
        <w:lastRenderedPageBreak/>
        <w:t>Priority Sector Lending (PSL) targets / sub-targets and contribution against shortfall in achievement of PSL targets – Primary (Urban) Co-operative Banks (UCBs) - Extension of time</w:t>
      </w:r>
    </w:p>
    <w:bookmarkEnd w:id="40"/>
    <w:p w14:paraId="05B97D31" w14:textId="77777777" w:rsidR="00AE7566" w:rsidRDefault="00AE7566" w:rsidP="00AE7566">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RBI/2023-24/42</w:t>
      </w:r>
      <w:r>
        <w:rPr>
          <w:rFonts w:ascii="Arial" w:hAnsi="Arial" w:cs="Arial"/>
          <w:color w:val="000000"/>
          <w:sz w:val="20"/>
          <w:szCs w:val="20"/>
        </w:rPr>
        <w:br/>
        <w:t>DOR.CRE.REC.18/07.10.002/2023-24</w:t>
      </w:r>
    </w:p>
    <w:p w14:paraId="3804770D" w14:textId="77777777" w:rsidR="00AE7566" w:rsidRDefault="00AE7566" w:rsidP="00AE7566">
      <w:pPr>
        <w:pStyle w:val="NormalWeb"/>
        <w:jc w:val="right"/>
        <w:rPr>
          <w:rFonts w:ascii="Arial" w:hAnsi="Arial" w:cs="Arial"/>
          <w:color w:val="000000"/>
          <w:sz w:val="20"/>
          <w:szCs w:val="20"/>
        </w:rPr>
      </w:pPr>
      <w:r>
        <w:rPr>
          <w:rFonts w:ascii="Arial" w:hAnsi="Arial" w:cs="Arial"/>
          <w:color w:val="000000"/>
          <w:sz w:val="20"/>
          <w:szCs w:val="20"/>
        </w:rPr>
        <w:t>June 8, 2023</w:t>
      </w:r>
    </w:p>
    <w:p w14:paraId="1E57F4AF"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Primary (Urban) Co-operative Banks other than Salary Earners’ Banks</w:t>
      </w:r>
    </w:p>
    <w:p w14:paraId="2F529193"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Madam / Dear Sir,</w:t>
      </w:r>
    </w:p>
    <w:p w14:paraId="0DA7907E" w14:textId="77777777" w:rsidR="00AE7566" w:rsidRDefault="00AE7566" w:rsidP="00AE7566">
      <w:pPr>
        <w:pStyle w:val="head"/>
        <w:jc w:val="both"/>
        <w:rPr>
          <w:rFonts w:ascii="Arial" w:hAnsi="Arial" w:cs="Arial"/>
          <w:b/>
          <w:bCs/>
          <w:color w:val="000000"/>
          <w:sz w:val="20"/>
          <w:szCs w:val="20"/>
        </w:rPr>
      </w:pPr>
      <w:r>
        <w:rPr>
          <w:rFonts w:ascii="Arial" w:hAnsi="Arial" w:cs="Arial"/>
          <w:b/>
          <w:bCs/>
          <w:color w:val="000000"/>
          <w:sz w:val="20"/>
          <w:szCs w:val="20"/>
        </w:rPr>
        <w:t>Priority Sector Lending (PSL) targets / sub-targets and contribution against shortfall in achievement of PSL targets – Primary (Urban) Co-operative Banks (UCBs) - Extension of time</w:t>
      </w:r>
    </w:p>
    <w:p w14:paraId="705EEE50"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Please refer to para 3 of the </w:t>
      </w:r>
      <w:hyperlink r:id="rId83" w:tgtFrame="_blank" w:history="1">
        <w:r>
          <w:rPr>
            <w:rStyle w:val="Hyperlink"/>
            <w:rFonts w:ascii="Arial" w:hAnsi="Arial" w:cs="Arial"/>
            <w:sz w:val="20"/>
            <w:szCs w:val="20"/>
          </w:rPr>
          <w:t>circular DOR (PCB).</w:t>
        </w:r>
        <w:proofErr w:type="spellStart"/>
        <w:r>
          <w:rPr>
            <w:rStyle w:val="Hyperlink"/>
            <w:rFonts w:ascii="Arial" w:hAnsi="Arial" w:cs="Arial"/>
            <w:sz w:val="20"/>
            <w:szCs w:val="20"/>
          </w:rPr>
          <w:t>BPD.Cir</w:t>
        </w:r>
        <w:proofErr w:type="spellEnd"/>
        <w:r>
          <w:rPr>
            <w:rStyle w:val="Hyperlink"/>
            <w:rFonts w:ascii="Arial" w:hAnsi="Arial" w:cs="Arial"/>
            <w:sz w:val="20"/>
            <w:szCs w:val="20"/>
          </w:rPr>
          <w:t xml:space="preserve"> No.10/13.05.000/2019-20</w:t>
        </w:r>
        <w:r>
          <w:rPr>
            <w:rStyle w:val="Hyperlink"/>
            <w:rFonts w:ascii="Arial" w:hAnsi="Arial" w:cs="Arial"/>
            <w:sz w:val="15"/>
            <w:szCs w:val="15"/>
            <w:vertAlign w:val="superscript"/>
          </w:rPr>
          <w:t>1</w:t>
        </w:r>
        <w:r>
          <w:rPr>
            <w:rStyle w:val="Hyperlink"/>
            <w:rFonts w:ascii="Arial" w:hAnsi="Arial" w:cs="Arial"/>
            <w:sz w:val="20"/>
            <w:szCs w:val="20"/>
          </w:rPr>
          <w:t> dated March 13, 2020</w:t>
        </w:r>
      </w:hyperlink>
      <w:r>
        <w:rPr>
          <w:rFonts w:ascii="Arial" w:hAnsi="Arial" w:cs="Arial"/>
          <w:color w:val="000000"/>
          <w:sz w:val="20"/>
          <w:szCs w:val="20"/>
        </w:rPr>
        <w:t>, and para 5 of </w:t>
      </w:r>
      <w:hyperlink r:id="rId84" w:tgtFrame="_blank" w:history="1">
        <w:r>
          <w:rPr>
            <w:rStyle w:val="Hyperlink"/>
            <w:rFonts w:ascii="Arial" w:hAnsi="Arial" w:cs="Arial"/>
            <w:sz w:val="20"/>
            <w:szCs w:val="20"/>
          </w:rPr>
          <w:t>Master Direction on Priority Sector Lending (PSL) - Targets and Classification dated September 4, 2020</w:t>
        </w:r>
      </w:hyperlink>
      <w:r>
        <w:rPr>
          <w:rFonts w:ascii="Arial" w:hAnsi="Arial" w:cs="Arial"/>
          <w:color w:val="000000"/>
          <w:sz w:val="20"/>
          <w:szCs w:val="20"/>
        </w:rPr>
        <w:t>, in terms of which, a glide path for achieving overall PSL target and sub-target for advances to weaker sections was prescribed till March 31, 2024.</w:t>
      </w:r>
    </w:p>
    <w:p w14:paraId="04E96A47"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2. As announced in the Statement on Developmental and Regulatory Policies (</w:t>
      </w:r>
      <w:hyperlink r:id="rId85" w:anchor="ANNN" w:history="1">
        <w:r>
          <w:rPr>
            <w:rStyle w:val="Hyperlink"/>
            <w:rFonts w:ascii="Arial" w:hAnsi="Arial" w:cs="Arial"/>
            <w:sz w:val="20"/>
            <w:szCs w:val="20"/>
          </w:rPr>
          <w:t>para no. 4 Annexed</w:t>
        </w:r>
      </w:hyperlink>
      <w:r>
        <w:rPr>
          <w:rFonts w:ascii="Arial" w:hAnsi="Arial" w:cs="Arial"/>
          <w:color w:val="000000"/>
          <w:sz w:val="20"/>
          <w:szCs w:val="20"/>
        </w:rPr>
        <w:t>), in order to address implementational challenges faced by the UCBs and to make the transition non-disruptive, it has been decided to extend the glide path for these PSL targets by an additional period of two years as under:</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1"/>
        <w:gridCol w:w="2126"/>
        <w:gridCol w:w="1985"/>
        <w:gridCol w:w="2694"/>
      </w:tblGrid>
      <w:tr w:rsidR="00AE7566" w14:paraId="0D0B158F" w14:textId="77777777" w:rsidTr="00781F9A">
        <w:tc>
          <w:tcPr>
            <w:tcW w:w="1188" w:type="pct"/>
            <w:tcMar>
              <w:top w:w="0" w:type="dxa"/>
              <w:left w:w="45" w:type="dxa"/>
              <w:bottom w:w="0" w:type="dxa"/>
              <w:right w:w="45" w:type="dxa"/>
            </w:tcMar>
            <w:hideMark/>
          </w:tcPr>
          <w:p w14:paraId="099ED8F9" w14:textId="77777777" w:rsidR="00AE7566" w:rsidRDefault="00AE7566" w:rsidP="00781F9A">
            <w:pPr>
              <w:jc w:val="center"/>
              <w:rPr>
                <w:rFonts w:ascii="Arial" w:hAnsi="Arial" w:cs="Arial"/>
                <w:b/>
                <w:bCs/>
                <w:color w:val="000000"/>
                <w:sz w:val="20"/>
                <w:szCs w:val="20"/>
              </w:rPr>
            </w:pPr>
            <w:r>
              <w:rPr>
                <w:rFonts w:ascii="Arial" w:hAnsi="Arial" w:cs="Arial"/>
                <w:b/>
                <w:bCs/>
                <w:color w:val="000000"/>
                <w:sz w:val="20"/>
                <w:szCs w:val="20"/>
              </w:rPr>
              <w:t>Financial Year ended</w:t>
            </w:r>
          </w:p>
        </w:tc>
        <w:tc>
          <w:tcPr>
            <w:tcW w:w="1191" w:type="pct"/>
            <w:tcMar>
              <w:top w:w="0" w:type="dxa"/>
              <w:left w:w="45" w:type="dxa"/>
              <w:bottom w:w="0" w:type="dxa"/>
              <w:right w:w="45" w:type="dxa"/>
            </w:tcMar>
            <w:hideMark/>
          </w:tcPr>
          <w:p w14:paraId="2DF67E42" w14:textId="77777777" w:rsidR="00AE7566" w:rsidRDefault="00AE7566" w:rsidP="00781F9A">
            <w:pPr>
              <w:jc w:val="center"/>
              <w:rPr>
                <w:rFonts w:ascii="Arial" w:hAnsi="Arial" w:cs="Arial"/>
                <w:b/>
                <w:bCs/>
                <w:color w:val="000000"/>
                <w:sz w:val="20"/>
                <w:szCs w:val="20"/>
              </w:rPr>
            </w:pPr>
            <w:r>
              <w:rPr>
                <w:rFonts w:ascii="Arial" w:hAnsi="Arial" w:cs="Arial"/>
                <w:b/>
                <w:bCs/>
                <w:color w:val="000000"/>
                <w:sz w:val="20"/>
                <w:szCs w:val="20"/>
              </w:rPr>
              <w:t>March 31, 2024</w:t>
            </w:r>
          </w:p>
        </w:tc>
        <w:tc>
          <w:tcPr>
            <w:tcW w:w="1112" w:type="pct"/>
            <w:tcMar>
              <w:top w:w="0" w:type="dxa"/>
              <w:left w:w="45" w:type="dxa"/>
              <w:bottom w:w="0" w:type="dxa"/>
              <w:right w:w="45" w:type="dxa"/>
            </w:tcMar>
            <w:hideMark/>
          </w:tcPr>
          <w:p w14:paraId="64566D7C" w14:textId="77777777" w:rsidR="00AE7566" w:rsidRDefault="00AE7566" w:rsidP="00781F9A">
            <w:pPr>
              <w:jc w:val="center"/>
              <w:rPr>
                <w:rFonts w:ascii="Arial" w:hAnsi="Arial" w:cs="Arial"/>
                <w:b/>
                <w:bCs/>
                <w:color w:val="000000"/>
                <w:sz w:val="20"/>
                <w:szCs w:val="20"/>
              </w:rPr>
            </w:pPr>
            <w:r>
              <w:rPr>
                <w:rFonts w:ascii="Arial" w:hAnsi="Arial" w:cs="Arial"/>
                <w:b/>
                <w:bCs/>
                <w:color w:val="000000"/>
                <w:sz w:val="20"/>
                <w:szCs w:val="20"/>
              </w:rPr>
              <w:t>March 31, 2025</w:t>
            </w:r>
          </w:p>
        </w:tc>
        <w:tc>
          <w:tcPr>
            <w:tcW w:w="1509" w:type="pct"/>
            <w:tcMar>
              <w:top w:w="0" w:type="dxa"/>
              <w:left w:w="45" w:type="dxa"/>
              <w:bottom w:w="0" w:type="dxa"/>
              <w:right w:w="45" w:type="dxa"/>
            </w:tcMar>
            <w:hideMark/>
          </w:tcPr>
          <w:p w14:paraId="62B32123" w14:textId="77777777" w:rsidR="00AE7566" w:rsidRDefault="00AE7566" w:rsidP="00781F9A">
            <w:pPr>
              <w:jc w:val="center"/>
              <w:rPr>
                <w:rFonts w:ascii="Arial" w:hAnsi="Arial" w:cs="Arial"/>
                <w:b/>
                <w:bCs/>
                <w:color w:val="000000"/>
                <w:sz w:val="20"/>
                <w:szCs w:val="20"/>
              </w:rPr>
            </w:pPr>
            <w:r>
              <w:rPr>
                <w:rFonts w:ascii="Arial" w:hAnsi="Arial" w:cs="Arial"/>
                <w:b/>
                <w:bCs/>
                <w:color w:val="000000"/>
                <w:sz w:val="20"/>
                <w:szCs w:val="20"/>
              </w:rPr>
              <w:t>March 31, 2026</w:t>
            </w:r>
          </w:p>
        </w:tc>
      </w:tr>
      <w:tr w:rsidR="00AE7566" w14:paraId="373D9B5B" w14:textId="77777777" w:rsidTr="00781F9A">
        <w:tc>
          <w:tcPr>
            <w:tcW w:w="1188" w:type="pct"/>
            <w:tcMar>
              <w:top w:w="0" w:type="dxa"/>
              <w:left w:w="45" w:type="dxa"/>
              <w:bottom w:w="0" w:type="dxa"/>
              <w:right w:w="45" w:type="dxa"/>
            </w:tcMar>
            <w:hideMark/>
          </w:tcPr>
          <w:p w14:paraId="7D46BA41" w14:textId="77777777" w:rsidR="00AE7566" w:rsidRDefault="00AE7566" w:rsidP="00781F9A">
            <w:pPr>
              <w:jc w:val="both"/>
              <w:rPr>
                <w:rFonts w:ascii="Arial" w:hAnsi="Arial" w:cs="Arial"/>
                <w:color w:val="000000"/>
                <w:sz w:val="20"/>
                <w:szCs w:val="20"/>
              </w:rPr>
            </w:pPr>
            <w:r>
              <w:rPr>
                <w:rFonts w:ascii="Arial" w:hAnsi="Arial" w:cs="Arial"/>
                <w:color w:val="000000"/>
                <w:sz w:val="20"/>
                <w:szCs w:val="20"/>
              </w:rPr>
              <w:t>Overall PSL Target</w:t>
            </w:r>
            <w:r>
              <w:rPr>
                <w:rFonts w:ascii="Arial" w:hAnsi="Arial" w:cs="Arial"/>
                <w:color w:val="000000"/>
                <w:sz w:val="15"/>
                <w:szCs w:val="15"/>
                <w:vertAlign w:val="superscript"/>
              </w:rPr>
              <w:t>@</w:t>
            </w:r>
          </w:p>
        </w:tc>
        <w:tc>
          <w:tcPr>
            <w:tcW w:w="1191" w:type="pct"/>
            <w:tcMar>
              <w:top w:w="0" w:type="dxa"/>
              <w:left w:w="45" w:type="dxa"/>
              <w:bottom w:w="0" w:type="dxa"/>
              <w:right w:w="45" w:type="dxa"/>
            </w:tcMar>
            <w:hideMark/>
          </w:tcPr>
          <w:p w14:paraId="1D644F5E" w14:textId="77777777" w:rsidR="00AE7566" w:rsidRDefault="00AE7566" w:rsidP="00781F9A">
            <w:pPr>
              <w:jc w:val="center"/>
              <w:rPr>
                <w:rFonts w:ascii="Arial" w:hAnsi="Arial" w:cs="Arial"/>
                <w:color w:val="000000"/>
                <w:sz w:val="20"/>
                <w:szCs w:val="20"/>
              </w:rPr>
            </w:pPr>
            <w:r>
              <w:rPr>
                <w:rFonts w:ascii="Arial" w:hAnsi="Arial" w:cs="Arial"/>
                <w:color w:val="000000"/>
                <w:sz w:val="20"/>
                <w:szCs w:val="20"/>
              </w:rPr>
              <w:t>60% of ANBC</w:t>
            </w:r>
            <w:hyperlink r:id="rId86" w:anchor="F2" w:history="1">
              <w:r>
                <w:rPr>
                  <w:rStyle w:val="Hyperlink"/>
                  <w:rFonts w:ascii="Arial" w:hAnsi="Arial" w:cs="Arial"/>
                  <w:sz w:val="15"/>
                  <w:szCs w:val="15"/>
                  <w:vertAlign w:val="superscript"/>
                </w:rPr>
                <w:t>2</w:t>
              </w:r>
            </w:hyperlink>
            <w:r>
              <w:rPr>
                <w:rFonts w:ascii="Arial" w:hAnsi="Arial" w:cs="Arial"/>
                <w:color w:val="000000"/>
                <w:sz w:val="20"/>
                <w:szCs w:val="20"/>
              </w:rPr>
              <w:t> or</w:t>
            </w:r>
            <w:r>
              <w:rPr>
                <w:rFonts w:ascii="Arial" w:hAnsi="Arial" w:cs="Arial"/>
                <w:color w:val="000000"/>
                <w:sz w:val="20"/>
                <w:szCs w:val="20"/>
              </w:rPr>
              <w:br/>
              <w:t>CEOBSE</w:t>
            </w:r>
            <w:hyperlink r:id="rId87" w:anchor="F3" w:history="1">
              <w:r>
                <w:rPr>
                  <w:rStyle w:val="Hyperlink"/>
                  <w:rFonts w:ascii="Arial" w:hAnsi="Arial" w:cs="Arial"/>
                  <w:sz w:val="15"/>
                  <w:szCs w:val="15"/>
                  <w:vertAlign w:val="superscript"/>
                </w:rPr>
                <w:t>3</w:t>
              </w:r>
            </w:hyperlink>
            <w:r>
              <w:rPr>
                <w:rFonts w:ascii="Arial" w:hAnsi="Arial" w:cs="Arial"/>
                <w:color w:val="000000"/>
                <w:sz w:val="20"/>
                <w:szCs w:val="20"/>
              </w:rPr>
              <w:t>,</w:t>
            </w:r>
            <w:r>
              <w:rPr>
                <w:rFonts w:ascii="Arial" w:hAnsi="Arial" w:cs="Arial"/>
                <w:color w:val="000000"/>
                <w:sz w:val="20"/>
                <w:szCs w:val="20"/>
              </w:rPr>
              <w:br/>
              <w:t>whichever is higher</w:t>
            </w:r>
          </w:p>
        </w:tc>
        <w:tc>
          <w:tcPr>
            <w:tcW w:w="1112" w:type="pct"/>
            <w:tcMar>
              <w:top w:w="0" w:type="dxa"/>
              <w:left w:w="45" w:type="dxa"/>
              <w:bottom w:w="0" w:type="dxa"/>
              <w:right w:w="45" w:type="dxa"/>
            </w:tcMar>
            <w:hideMark/>
          </w:tcPr>
          <w:p w14:paraId="2C459773" w14:textId="77777777" w:rsidR="00AE7566" w:rsidRDefault="00AE7566" w:rsidP="00781F9A">
            <w:pPr>
              <w:jc w:val="center"/>
              <w:rPr>
                <w:rFonts w:ascii="Arial" w:hAnsi="Arial" w:cs="Arial"/>
                <w:color w:val="000000"/>
                <w:sz w:val="20"/>
                <w:szCs w:val="20"/>
              </w:rPr>
            </w:pPr>
            <w:r>
              <w:rPr>
                <w:rFonts w:ascii="Arial" w:hAnsi="Arial" w:cs="Arial"/>
                <w:color w:val="000000"/>
                <w:sz w:val="20"/>
                <w:szCs w:val="20"/>
              </w:rPr>
              <w:t>65% of ANBC or</w:t>
            </w:r>
            <w:r>
              <w:rPr>
                <w:rFonts w:ascii="Arial" w:hAnsi="Arial" w:cs="Arial"/>
                <w:color w:val="000000"/>
                <w:sz w:val="20"/>
                <w:szCs w:val="20"/>
              </w:rPr>
              <w:br/>
              <w:t>CEOBSE,</w:t>
            </w:r>
            <w:r>
              <w:rPr>
                <w:rFonts w:ascii="Arial" w:hAnsi="Arial" w:cs="Arial"/>
                <w:color w:val="000000"/>
                <w:sz w:val="20"/>
                <w:szCs w:val="20"/>
              </w:rPr>
              <w:br/>
              <w:t>whichever is higher</w:t>
            </w:r>
          </w:p>
        </w:tc>
        <w:tc>
          <w:tcPr>
            <w:tcW w:w="1509" w:type="pct"/>
            <w:tcMar>
              <w:top w:w="0" w:type="dxa"/>
              <w:left w:w="45" w:type="dxa"/>
              <w:bottom w:w="0" w:type="dxa"/>
              <w:right w:w="45" w:type="dxa"/>
            </w:tcMar>
            <w:hideMark/>
          </w:tcPr>
          <w:p w14:paraId="04CFE981" w14:textId="77777777" w:rsidR="00AE7566" w:rsidRDefault="00AE7566" w:rsidP="00781F9A">
            <w:pPr>
              <w:jc w:val="center"/>
              <w:rPr>
                <w:rFonts w:ascii="Arial" w:hAnsi="Arial" w:cs="Arial"/>
                <w:color w:val="000000"/>
                <w:sz w:val="20"/>
                <w:szCs w:val="20"/>
              </w:rPr>
            </w:pPr>
            <w:r>
              <w:rPr>
                <w:rFonts w:ascii="Arial" w:hAnsi="Arial" w:cs="Arial"/>
                <w:color w:val="000000"/>
                <w:sz w:val="20"/>
                <w:szCs w:val="20"/>
              </w:rPr>
              <w:t>75% of ANBC or</w:t>
            </w:r>
            <w:r>
              <w:rPr>
                <w:rFonts w:ascii="Arial" w:hAnsi="Arial" w:cs="Arial"/>
                <w:color w:val="000000"/>
                <w:sz w:val="20"/>
                <w:szCs w:val="20"/>
              </w:rPr>
              <w:br/>
              <w:t>CEOBSE,</w:t>
            </w:r>
            <w:r>
              <w:rPr>
                <w:rFonts w:ascii="Arial" w:hAnsi="Arial" w:cs="Arial"/>
                <w:color w:val="000000"/>
                <w:sz w:val="20"/>
                <w:szCs w:val="20"/>
              </w:rPr>
              <w:br/>
              <w:t>whichever is higher</w:t>
            </w:r>
          </w:p>
        </w:tc>
      </w:tr>
      <w:tr w:rsidR="00AE7566" w14:paraId="55049913" w14:textId="77777777" w:rsidTr="00781F9A">
        <w:tc>
          <w:tcPr>
            <w:tcW w:w="1188" w:type="pct"/>
            <w:tcMar>
              <w:top w:w="0" w:type="dxa"/>
              <w:left w:w="45" w:type="dxa"/>
              <w:bottom w:w="0" w:type="dxa"/>
              <w:right w:w="45" w:type="dxa"/>
            </w:tcMar>
            <w:hideMark/>
          </w:tcPr>
          <w:p w14:paraId="517DD351" w14:textId="77777777" w:rsidR="00AE7566" w:rsidRDefault="00AE7566" w:rsidP="00781F9A">
            <w:pPr>
              <w:rPr>
                <w:rFonts w:ascii="Arial" w:hAnsi="Arial" w:cs="Arial"/>
                <w:color w:val="000000"/>
                <w:sz w:val="20"/>
                <w:szCs w:val="20"/>
              </w:rPr>
            </w:pPr>
            <w:r>
              <w:rPr>
                <w:rFonts w:ascii="Arial" w:hAnsi="Arial" w:cs="Arial"/>
                <w:color w:val="000000"/>
                <w:sz w:val="20"/>
                <w:szCs w:val="20"/>
              </w:rPr>
              <w:t>Sub-target for advances to weaker sections</w:t>
            </w:r>
            <w:r>
              <w:rPr>
                <w:rFonts w:ascii="Arial" w:hAnsi="Arial" w:cs="Arial"/>
                <w:color w:val="000000"/>
                <w:sz w:val="15"/>
                <w:szCs w:val="15"/>
                <w:vertAlign w:val="superscript"/>
              </w:rPr>
              <w:t>#</w:t>
            </w:r>
            <w:r>
              <w:rPr>
                <w:rFonts w:ascii="Arial" w:hAnsi="Arial" w:cs="Arial"/>
                <w:color w:val="000000"/>
                <w:sz w:val="20"/>
                <w:szCs w:val="20"/>
              </w:rPr>
              <w:t>,</w:t>
            </w:r>
            <w:hyperlink r:id="rId88" w:anchor="F4" w:history="1">
              <w:r>
                <w:rPr>
                  <w:rStyle w:val="Hyperlink"/>
                  <w:rFonts w:ascii="Arial" w:hAnsi="Arial" w:cs="Arial"/>
                  <w:sz w:val="15"/>
                  <w:szCs w:val="15"/>
                  <w:vertAlign w:val="superscript"/>
                </w:rPr>
                <w:t>4</w:t>
              </w:r>
            </w:hyperlink>
          </w:p>
        </w:tc>
        <w:tc>
          <w:tcPr>
            <w:tcW w:w="1191" w:type="pct"/>
            <w:tcMar>
              <w:top w:w="0" w:type="dxa"/>
              <w:left w:w="45" w:type="dxa"/>
              <w:bottom w:w="0" w:type="dxa"/>
              <w:right w:w="45" w:type="dxa"/>
            </w:tcMar>
            <w:hideMark/>
          </w:tcPr>
          <w:p w14:paraId="63209B6C" w14:textId="77777777" w:rsidR="00AE7566" w:rsidRDefault="00AE7566" w:rsidP="00781F9A">
            <w:pPr>
              <w:jc w:val="center"/>
              <w:rPr>
                <w:rFonts w:ascii="Arial" w:hAnsi="Arial" w:cs="Arial"/>
                <w:color w:val="000000"/>
                <w:sz w:val="20"/>
                <w:szCs w:val="20"/>
              </w:rPr>
            </w:pPr>
            <w:r>
              <w:rPr>
                <w:rFonts w:ascii="Arial" w:hAnsi="Arial" w:cs="Arial"/>
                <w:color w:val="000000"/>
                <w:sz w:val="20"/>
                <w:szCs w:val="20"/>
              </w:rPr>
              <w:t>11.50% of ANBC or</w:t>
            </w:r>
            <w:r>
              <w:rPr>
                <w:rFonts w:ascii="Arial" w:hAnsi="Arial" w:cs="Arial"/>
                <w:color w:val="000000"/>
                <w:sz w:val="20"/>
                <w:szCs w:val="20"/>
              </w:rPr>
              <w:br/>
              <w:t>CEOBSE,</w:t>
            </w:r>
            <w:r>
              <w:rPr>
                <w:rFonts w:ascii="Arial" w:hAnsi="Arial" w:cs="Arial"/>
                <w:color w:val="000000"/>
                <w:sz w:val="20"/>
                <w:szCs w:val="20"/>
              </w:rPr>
              <w:br/>
              <w:t>whichever is higher</w:t>
            </w:r>
          </w:p>
        </w:tc>
        <w:tc>
          <w:tcPr>
            <w:tcW w:w="1112" w:type="pct"/>
            <w:tcMar>
              <w:top w:w="0" w:type="dxa"/>
              <w:left w:w="45" w:type="dxa"/>
              <w:bottom w:w="0" w:type="dxa"/>
              <w:right w:w="45" w:type="dxa"/>
            </w:tcMar>
            <w:hideMark/>
          </w:tcPr>
          <w:p w14:paraId="74F765A2" w14:textId="77777777" w:rsidR="00AE7566" w:rsidRDefault="00AE7566" w:rsidP="00781F9A">
            <w:pPr>
              <w:jc w:val="center"/>
              <w:rPr>
                <w:rFonts w:ascii="Arial" w:hAnsi="Arial" w:cs="Arial"/>
                <w:color w:val="000000"/>
                <w:sz w:val="20"/>
                <w:szCs w:val="20"/>
              </w:rPr>
            </w:pPr>
            <w:r>
              <w:rPr>
                <w:rFonts w:ascii="Arial" w:hAnsi="Arial" w:cs="Arial"/>
                <w:color w:val="000000"/>
                <w:sz w:val="20"/>
                <w:szCs w:val="20"/>
              </w:rPr>
              <w:t>11.75% of ANBC or CEOBSE,</w:t>
            </w:r>
            <w:r>
              <w:rPr>
                <w:rFonts w:ascii="Arial" w:hAnsi="Arial" w:cs="Arial"/>
                <w:color w:val="000000"/>
                <w:sz w:val="20"/>
                <w:szCs w:val="20"/>
              </w:rPr>
              <w:br/>
              <w:t>whichever is higher</w:t>
            </w:r>
          </w:p>
        </w:tc>
        <w:tc>
          <w:tcPr>
            <w:tcW w:w="1509" w:type="pct"/>
            <w:tcMar>
              <w:top w:w="0" w:type="dxa"/>
              <w:left w:w="45" w:type="dxa"/>
              <w:bottom w:w="0" w:type="dxa"/>
              <w:right w:w="45" w:type="dxa"/>
            </w:tcMar>
            <w:hideMark/>
          </w:tcPr>
          <w:p w14:paraId="5202EB2A" w14:textId="77777777" w:rsidR="00AE7566" w:rsidRDefault="00AE7566" w:rsidP="00781F9A">
            <w:pPr>
              <w:jc w:val="center"/>
              <w:rPr>
                <w:rFonts w:ascii="Arial" w:hAnsi="Arial" w:cs="Arial"/>
                <w:color w:val="000000"/>
                <w:sz w:val="20"/>
                <w:szCs w:val="20"/>
              </w:rPr>
            </w:pPr>
            <w:r>
              <w:rPr>
                <w:rFonts w:ascii="Arial" w:hAnsi="Arial" w:cs="Arial"/>
                <w:color w:val="000000"/>
                <w:sz w:val="20"/>
                <w:szCs w:val="20"/>
              </w:rPr>
              <w:t>12.00% of ANBC</w:t>
            </w:r>
            <w:r>
              <w:rPr>
                <w:rFonts w:ascii="Arial" w:hAnsi="Arial" w:cs="Arial"/>
                <w:color w:val="000000"/>
                <w:sz w:val="20"/>
                <w:szCs w:val="20"/>
              </w:rPr>
              <w:br/>
              <w:t>or CEOBSE,</w:t>
            </w:r>
            <w:r>
              <w:rPr>
                <w:rFonts w:ascii="Arial" w:hAnsi="Arial" w:cs="Arial"/>
                <w:color w:val="000000"/>
                <w:sz w:val="20"/>
                <w:szCs w:val="20"/>
              </w:rPr>
              <w:br/>
              <w:t>whichever is higher</w:t>
            </w:r>
          </w:p>
        </w:tc>
      </w:tr>
      <w:tr w:rsidR="00AE7566" w14:paraId="14918AE4" w14:textId="77777777" w:rsidTr="00781F9A">
        <w:tc>
          <w:tcPr>
            <w:tcW w:w="5000" w:type="pct"/>
            <w:gridSpan w:val="4"/>
            <w:tcMar>
              <w:top w:w="0" w:type="dxa"/>
              <w:left w:w="45" w:type="dxa"/>
              <w:bottom w:w="0" w:type="dxa"/>
              <w:right w:w="45" w:type="dxa"/>
            </w:tcMar>
            <w:hideMark/>
          </w:tcPr>
          <w:p w14:paraId="2C71608B" w14:textId="77777777" w:rsidR="00AE7566" w:rsidRDefault="00AE7566" w:rsidP="00781F9A">
            <w:pPr>
              <w:jc w:val="both"/>
              <w:rPr>
                <w:rFonts w:ascii="Arial" w:hAnsi="Arial" w:cs="Arial"/>
                <w:color w:val="000000"/>
                <w:sz w:val="20"/>
                <w:szCs w:val="20"/>
              </w:rPr>
            </w:pPr>
            <w:r>
              <w:rPr>
                <w:rFonts w:ascii="Arial" w:hAnsi="Arial" w:cs="Arial"/>
                <w:color w:val="000000"/>
                <w:sz w:val="20"/>
                <w:szCs w:val="20"/>
              </w:rPr>
              <w:t>@ The targets for March 31, 2023 (at 60 %) shall continue till March 31, 2024.</w:t>
            </w:r>
            <w:r>
              <w:rPr>
                <w:rFonts w:ascii="Arial" w:hAnsi="Arial" w:cs="Arial"/>
                <w:color w:val="000000"/>
                <w:sz w:val="20"/>
                <w:szCs w:val="20"/>
              </w:rPr>
              <w:br/>
              <w:t># The sub-target set for March 31, 2023 (at 11.50%) shall continue till March 31, 2024.</w:t>
            </w:r>
          </w:p>
        </w:tc>
      </w:tr>
    </w:tbl>
    <w:p w14:paraId="2E8A10DD"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3. In terms of para 28 of </w:t>
      </w:r>
      <w:hyperlink r:id="rId89" w:tgtFrame="_blank" w:history="1">
        <w:r>
          <w:rPr>
            <w:rStyle w:val="Hyperlink"/>
            <w:rFonts w:ascii="Arial" w:hAnsi="Arial" w:cs="Arial"/>
            <w:sz w:val="20"/>
            <w:szCs w:val="20"/>
          </w:rPr>
          <w:t>Master Direction on Priority Sector Lending (PSL) - Targets and Classification dated September 4, 2020</w:t>
        </w:r>
      </w:hyperlink>
      <w:r>
        <w:rPr>
          <w:rFonts w:ascii="Arial" w:hAnsi="Arial" w:cs="Arial"/>
          <w:color w:val="000000"/>
          <w:sz w:val="20"/>
          <w:szCs w:val="20"/>
        </w:rPr>
        <w:t> and para 2 of the </w:t>
      </w:r>
      <w:hyperlink r:id="rId90" w:tgtFrame="_blank" w:history="1">
        <w:r>
          <w:rPr>
            <w:rStyle w:val="Hyperlink"/>
            <w:rFonts w:ascii="Arial" w:hAnsi="Arial" w:cs="Arial"/>
            <w:sz w:val="20"/>
            <w:szCs w:val="20"/>
          </w:rPr>
          <w:t>circular DOR (PCB).BPD.Cir.No.12/09.09.002/2019-20</w:t>
        </w:r>
        <w:r>
          <w:rPr>
            <w:rStyle w:val="Hyperlink"/>
            <w:rFonts w:ascii="Arial" w:hAnsi="Arial" w:cs="Arial"/>
            <w:sz w:val="15"/>
            <w:szCs w:val="15"/>
            <w:vertAlign w:val="superscript"/>
          </w:rPr>
          <w:t>5</w:t>
        </w:r>
        <w:r>
          <w:rPr>
            <w:rStyle w:val="Hyperlink"/>
            <w:rFonts w:ascii="Arial" w:hAnsi="Arial" w:cs="Arial"/>
            <w:sz w:val="20"/>
            <w:szCs w:val="20"/>
          </w:rPr>
          <w:t> dated April 24, 2020</w:t>
        </w:r>
      </w:hyperlink>
      <w:r>
        <w:rPr>
          <w:rFonts w:ascii="Arial" w:hAnsi="Arial" w:cs="Arial"/>
          <w:color w:val="000000"/>
          <w:sz w:val="20"/>
          <w:szCs w:val="20"/>
        </w:rPr>
        <w:t>, all UCBs (excluding those under all-inclusive directions), were advised to contribute to Rural Infrastructure Development Fund (RIDF) established with NABARD and other Funds with NABARD / NHB / SIDBI / MUDRA Ltd., against their PSL shortfall vis-à-vis the prescribed target/ sub-targets, with effect from March 31, 2021.</w:t>
      </w:r>
    </w:p>
    <w:p w14:paraId="01B5C56E"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Yours faithfully,</w:t>
      </w:r>
    </w:p>
    <w:p w14:paraId="3563C9F4" w14:textId="77777777" w:rsidR="00AE7566" w:rsidRDefault="00AE7566" w:rsidP="00AE756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504769F0" w14:textId="77777777" w:rsidR="00AE7566" w:rsidRDefault="00AE7566" w:rsidP="00AE7566">
      <w:pPr>
        <w:spacing w:before="240" w:after="0"/>
      </w:pPr>
      <w:r>
        <w:t>More details can be referred to in the below link.</w:t>
      </w:r>
    </w:p>
    <w:p w14:paraId="5EB7F3ED" w14:textId="77777777" w:rsidR="00AE7566" w:rsidRDefault="00AE7566" w:rsidP="00AE756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91" w:history="1">
        <w:r w:rsidRPr="005F425E">
          <w:rPr>
            <w:rStyle w:val="Hyperlink"/>
            <w:rFonts w:ascii="Arial" w:hAnsi="Arial" w:cs="Arial"/>
            <w:bCs/>
            <w:sz w:val="20"/>
            <w:szCs w:val="20"/>
          </w:rPr>
          <w:t>https://rbi.org.in/Scripts/NotificationUser.aspx?Id=12515&amp;Mode=0</w:t>
        </w:r>
      </w:hyperlink>
    </w:p>
    <w:bookmarkEnd w:id="41"/>
    <w:p w14:paraId="221F20D4" w14:textId="77777777" w:rsidR="00AE7566" w:rsidRDefault="00AE7566" w:rsidP="009A6CFA">
      <w:pPr>
        <w:rPr>
          <w:lang w:val="en-US"/>
        </w:rPr>
      </w:pPr>
    </w:p>
    <w:p w14:paraId="550CFB72" w14:textId="77777777" w:rsidR="00AE7566" w:rsidRDefault="00AE7566" w:rsidP="00AE7566">
      <w:pPr>
        <w:pStyle w:val="NormalWeb"/>
        <w:rPr>
          <w:rFonts w:ascii="Arial" w:hAnsi="Arial" w:cs="Arial"/>
          <w:b/>
          <w:bCs/>
          <w:color w:val="000000"/>
          <w:sz w:val="20"/>
          <w:szCs w:val="20"/>
        </w:rPr>
      </w:pPr>
      <w:bookmarkStart w:id="42" w:name="OLE_LINK87"/>
      <w:r>
        <w:rPr>
          <w:rFonts w:ascii="Arial" w:hAnsi="Arial" w:cs="Arial"/>
          <w:b/>
          <w:bCs/>
          <w:color w:val="000000"/>
          <w:sz w:val="20"/>
          <w:szCs w:val="20"/>
        </w:rPr>
        <w:lastRenderedPageBreak/>
        <w:t>Status of MIFOR as a Significant Benchmark</w:t>
      </w:r>
    </w:p>
    <w:bookmarkEnd w:id="42"/>
    <w:p w14:paraId="6E171483"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RBI/2023-24/46</w:t>
      </w:r>
      <w:r>
        <w:rPr>
          <w:rFonts w:ascii="Arial" w:hAnsi="Arial" w:cs="Arial"/>
          <w:color w:val="000000"/>
          <w:sz w:val="20"/>
          <w:szCs w:val="20"/>
        </w:rPr>
        <w:br/>
        <w:t>FMRD.FMSD.03/03.07.25/2023-24</w:t>
      </w:r>
    </w:p>
    <w:p w14:paraId="067AC61A" w14:textId="77777777" w:rsidR="00AE7566" w:rsidRDefault="00AE7566" w:rsidP="00AE7566">
      <w:pPr>
        <w:pStyle w:val="NormalWeb"/>
        <w:jc w:val="right"/>
        <w:rPr>
          <w:rFonts w:ascii="Arial" w:hAnsi="Arial" w:cs="Arial"/>
          <w:color w:val="000000"/>
          <w:sz w:val="20"/>
          <w:szCs w:val="20"/>
        </w:rPr>
      </w:pPr>
      <w:r>
        <w:rPr>
          <w:rFonts w:ascii="Arial" w:hAnsi="Arial" w:cs="Arial"/>
          <w:color w:val="000000"/>
          <w:sz w:val="20"/>
          <w:szCs w:val="20"/>
        </w:rPr>
        <w:t>June 23, 2023</w:t>
      </w:r>
    </w:p>
    <w:p w14:paraId="2F0E8520"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To</w:t>
      </w:r>
    </w:p>
    <w:p w14:paraId="5B15E082"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All the Financial Benchmark Administrators</w:t>
      </w:r>
    </w:p>
    <w:p w14:paraId="7152CACB"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Madam/Sir</w:t>
      </w:r>
    </w:p>
    <w:p w14:paraId="103AB959" w14:textId="77777777" w:rsidR="00AE7566" w:rsidRDefault="00AE7566" w:rsidP="00AE7566">
      <w:pPr>
        <w:pStyle w:val="head"/>
        <w:jc w:val="center"/>
        <w:rPr>
          <w:rFonts w:ascii="Arial" w:hAnsi="Arial" w:cs="Arial"/>
          <w:b/>
          <w:bCs/>
          <w:color w:val="000000"/>
          <w:sz w:val="20"/>
          <w:szCs w:val="20"/>
        </w:rPr>
      </w:pPr>
      <w:r>
        <w:rPr>
          <w:rFonts w:ascii="Arial" w:hAnsi="Arial" w:cs="Arial"/>
          <w:b/>
          <w:bCs/>
          <w:color w:val="000000"/>
          <w:sz w:val="20"/>
          <w:szCs w:val="20"/>
        </w:rPr>
        <w:t>Status of MIFOR as a Significant Benchmark</w:t>
      </w:r>
    </w:p>
    <w:p w14:paraId="37E53884"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br/>
        <w:t>Please refer to the </w:t>
      </w:r>
      <w:hyperlink r:id="rId92" w:tgtFrame="_blank" w:history="1">
        <w:r>
          <w:rPr>
            <w:rStyle w:val="Hyperlink"/>
            <w:rFonts w:ascii="Arial" w:hAnsi="Arial" w:cs="Arial"/>
            <w:sz w:val="20"/>
            <w:szCs w:val="20"/>
          </w:rPr>
          <w:t>RBI circular dated January 01, 2020</w:t>
        </w:r>
      </w:hyperlink>
      <w:r>
        <w:rPr>
          <w:rFonts w:ascii="Arial" w:hAnsi="Arial" w:cs="Arial"/>
          <w:color w:val="000000"/>
          <w:sz w:val="20"/>
          <w:szCs w:val="20"/>
        </w:rPr>
        <w:t> and </w:t>
      </w:r>
      <w:hyperlink r:id="rId93" w:tgtFrame="_blank" w:history="1">
        <w:r>
          <w:rPr>
            <w:rStyle w:val="Hyperlink"/>
            <w:rFonts w:ascii="Arial" w:hAnsi="Arial" w:cs="Arial"/>
            <w:sz w:val="20"/>
            <w:szCs w:val="20"/>
          </w:rPr>
          <w:t>December 01, 2022</w:t>
        </w:r>
      </w:hyperlink>
      <w:r>
        <w:rPr>
          <w:rFonts w:ascii="Arial" w:hAnsi="Arial" w:cs="Arial"/>
          <w:color w:val="000000"/>
          <w:sz w:val="20"/>
          <w:szCs w:val="20"/>
        </w:rPr>
        <w:t xml:space="preserve">, notifying, inter-alia, the financial benchmarks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viz., Mumbai Interbank Forward Outright Rate (MIFOR) and Modified Mumbai Interbank Forward Outright Rate (MMIFOR) as ‘significant benchmark’.</w:t>
      </w:r>
    </w:p>
    <w:p w14:paraId="6FB5E7BB"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2. In light of the cessation of the publication/non-representativeness of US Dollar London Interbank Offered Rate (USD LIBOR) settings after June 30, 2023, FBIL has been accorded approval to cease the publication of the MIFOR after June 30, 2023, in terms of provisions of the </w:t>
      </w:r>
      <w:hyperlink r:id="rId94" w:tgtFrame="_blank" w:history="1">
        <w:r>
          <w:rPr>
            <w:rStyle w:val="Hyperlink"/>
            <w:rFonts w:ascii="Arial" w:hAnsi="Arial" w:cs="Arial"/>
            <w:sz w:val="20"/>
            <w:szCs w:val="20"/>
          </w:rPr>
          <w:t>Financial Benchmark Administrators (Reserve Bank) Directions, 2019</w:t>
        </w:r>
      </w:hyperlink>
      <w:r>
        <w:rPr>
          <w:rFonts w:ascii="Arial" w:hAnsi="Arial" w:cs="Arial"/>
          <w:color w:val="000000"/>
          <w:sz w:val="20"/>
          <w:szCs w:val="20"/>
        </w:rPr>
        <w:t>. Accordingly, the MIFOR administered by FBIL shall cease to be a ‘significant benchmark’ after June 30, 2023.</w:t>
      </w:r>
    </w:p>
    <w:p w14:paraId="3087F196"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14:paraId="6A4BDCAF" w14:textId="77777777" w:rsidR="00AE7566" w:rsidRDefault="00AE7566" w:rsidP="00AE756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Overnight Mumbai Interbank Outright Rate (MIBOR)</w:t>
      </w:r>
    </w:p>
    <w:p w14:paraId="7B5E1391" w14:textId="77777777" w:rsidR="00AE7566" w:rsidRDefault="00AE7566" w:rsidP="00AE756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USD/INR Reference Rate</w:t>
      </w:r>
    </w:p>
    <w:p w14:paraId="63219464" w14:textId="77777777" w:rsidR="00AE7566" w:rsidRDefault="00AE7566" w:rsidP="00AE756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Treasury Bill Rates</w:t>
      </w:r>
    </w:p>
    <w:p w14:paraId="1A469DC4" w14:textId="77777777" w:rsidR="00AE7566" w:rsidRDefault="00AE7566" w:rsidP="00AE756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Valuation of Government Securities</w:t>
      </w:r>
    </w:p>
    <w:p w14:paraId="221F2F16" w14:textId="77777777" w:rsidR="00AE7566" w:rsidRDefault="00AE7566" w:rsidP="00AE756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State Development Loans (SDL)</w:t>
      </w:r>
    </w:p>
    <w:p w14:paraId="215E3264"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(vi) Modified Mumbai Interbank Forward Outright Rate (MMIFOR)</w:t>
      </w:r>
    </w:p>
    <w:p w14:paraId="35BFE02C"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4. The updated list of ‘significant benchmarks’ shall come into effect from July 01, 2023.</w:t>
      </w:r>
    </w:p>
    <w:p w14:paraId="1D07DA84" w14:textId="77777777" w:rsidR="00AE7566" w:rsidRDefault="00AE7566" w:rsidP="00AE7566">
      <w:pPr>
        <w:pStyle w:val="NormalWeb"/>
        <w:jc w:val="right"/>
        <w:rPr>
          <w:rFonts w:ascii="Arial" w:hAnsi="Arial" w:cs="Arial"/>
          <w:color w:val="000000"/>
          <w:sz w:val="20"/>
          <w:szCs w:val="20"/>
        </w:rPr>
      </w:pPr>
      <w:r>
        <w:rPr>
          <w:rFonts w:ascii="Arial" w:hAnsi="Arial" w:cs="Arial"/>
          <w:color w:val="000000"/>
          <w:sz w:val="20"/>
          <w:szCs w:val="20"/>
        </w:rPr>
        <w:t>Yours faithfully,</w:t>
      </w:r>
      <w:r>
        <w:rPr>
          <w:rFonts w:ascii="Arial" w:hAnsi="Arial" w:cs="Arial"/>
          <w:color w:val="000000"/>
          <w:sz w:val="20"/>
          <w:szCs w:val="20"/>
        </w:rPr>
        <w:br/>
      </w:r>
      <w:r>
        <w:rPr>
          <w:rFonts w:ascii="Arial" w:hAnsi="Arial" w:cs="Arial"/>
          <w:color w:val="000000"/>
          <w:sz w:val="20"/>
          <w:szCs w:val="20"/>
        </w:rPr>
        <w:b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5156CE52" w14:textId="77777777" w:rsidR="00AE7566" w:rsidRDefault="00AE7566" w:rsidP="00AE7566">
      <w:pPr>
        <w:pStyle w:val="NormalWeb"/>
        <w:rPr>
          <w:rFonts w:ascii="Arial" w:hAnsi="Arial" w:cs="Arial"/>
          <w:color w:val="000000"/>
          <w:sz w:val="20"/>
          <w:szCs w:val="20"/>
        </w:rPr>
      </w:pPr>
    </w:p>
    <w:p w14:paraId="0A360DDD" w14:textId="77777777" w:rsidR="00AE7566" w:rsidRDefault="00AE7566" w:rsidP="00AE7566">
      <w:pPr>
        <w:spacing w:before="240" w:after="0"/>
      </w:pPr>
      <w:r>
        <w:t>More details can be referred to in the below link.</w:t>
      </w:r>
    </w:p>
    <w:p w14:paraId="56BE843E" w14:textId="77777777" w:rsidR="00AE7566" w:rsidRDefault="00AE7566" w:rsidP="00AE756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95" w:history="1">
        <w:r w:rsidRPr="005F425E">
          <w:rPr>
            <w:rStyle w:val="Hyperlink"/>
            <w:rFonts w:ascii="Arial" w:hAnsi="Arial" w:cs="Arial"/>
            <w:bCs/>
            <w:sz w:val="20"/>
            <w:szCs w:val="20"/>
          </w:rPr>
          <w:t>https://rbi.org.in/Scripts/NotificationUser.aspx?Id=12519&amp;Mode=0</w:t>
        </w:r>
      </w:hyperlink>
    </w:p>
    <w:p w14:paraId="31F71BA8" w14:textId="77777777" w:rsidR="00AE7566" w:rsidRDefault="00AE7566" w:rsidP="009A6CFA">
      <w:pPr>
        <w:rPr>
          <w:lang w:val="en-US"/>
        </w:rPr>
      </w:pPr>
    </w:p>
    <w:p w14:paraId="13F8B44E" w14:textId="77777777" w:rsidR="00AE7566" w:rsidRDefault="00AE7566" w:rsidP="009A6CFA">
      <w:pPr>
        <w:rPr>
          <w:lang w:val="en-US"/>
        </w:rPr>
      </w:pPr>
    </w:p>
    <w:p w14:paraId="29A3DF92" w14:textId="77777777" w:rsidR="00AE7566" w:rsidRDefault="00AE7566" w:rsidP="009A6CFA">
      <w:pPr>
        <w:rPr>
          <w:lang w:val="en-US"/>
        </w:rPr>
      </w:pPr>
    </w:p>
    <w:p w14:paraId="696614BC" w14:textId="77777777" w:rsidR="00AE7566" w:rsidRDefault="00AE7566" w:rsidP="00AE7566">
      <w:pPr>
        <w:pStyle w:val="NormalWeb"/>
        <w:rPr>
          <w:rFonts w:ascii="Arial" w:hAnsi="Arial" w:cs="Arial"/>
          <w:b/>
          <w:bCs/>
          <w:color w:val="000000"/>
          <w:sz w:val="20"/>
          <w:szCs w:val="20"/>
        </w:rPr>
      </w:pPr>
      <w:bookmarkStart w:id="43" w:name="OLE_LINK88"/>
      <w:bookmarkStart w:id="44" w:name="_Hlk141826831"/>
      <w:r>
        <w:rPr>
          <w:rFonts w:ascii="Arial" w:hAnsi="Arial" w:cs="Arial"/>
          <w:b/>
          <w:bCs/>
          <w:color w:val="000000"/>
          <w:sz w:val="20"/>
          <w:szCs w:val="20"/>
        </w:rPr>
        <w:lastRenderedPageBreak/>
        <w:t>Master Direction on Minimum Capital Requirements for Operational Risk</w:t>
      </w:r>
      <w:bookmarkEnd w:id="43"/>
    </w:p>
    <w:p w14:paraId="0C365408"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RBI/DOR/2023-24/103</w:t>
      </w:r>
      <w:r>
        <w:rPr>
          <w:rFonts w:ascii="Arial" w:hAnsi="Arial" w:cs="Arial"/>
          <w:color w:val="000000"/>
          <w:sz w:val="20"/>
          <w:szCs w:val="20"/>
        </w:rPr>
        <w:br/>
        <w:t>DOR.ORG.REC.22/21.06.050/2023-24</w:t>
      </w:r>
    </w:p>
    <w:p w14:paraId="1B426151" w14:textId="77777777" w:rsidR="00AE7566" w:rsidRDefault="00AE7566" w:rsidP="00AE7566">
      <w:pPr>
        <w:pStyle w:val="NormalWeb"/>
        <w:jc w:val="right"/>
        <w:rPr>
          <w:rFonts w:ascii="Arial" w:hAnsi="Arial" w:cs="Arial"/>
          <w:color w:val="000000"/>
          <w:sz w:val="20"/>
          <w:szCs w:val="20"/>
        </w:rPr>
      </w:pPr>
      <w:r>
        <w:rPr>
          <w:rFonts w:ascii="Arial" w:hAnsi="Arial" w:cs="Arial"/>
          <w:color w:val="000000"/>
          <w:sz w:val="20"/>
          <w:szCs w:val="20"/>
        </w:rPr>
        <w:t>June 26, 2023</w:t>
      </w:r>
    </w:p>
    <w:p w14:paraId="5C9C32EC" w14:textId="77777777" w:rsidR="00AE7566" w:rsidRDefault="00AE7566" w:rsidP="00AE7566">
      <w:pPr>
        <w:pStyle w:val="head"/>
        <w:rPr>
          <w:rFonts w:ascii="Arial" w:hAnsi="Arial" w:cs="Arial"/>
          <w:b/>
          <w:bCs/>
          <w:color w:val="000000"/>
          <w:sz w:val="20"/>
          <w:szCs w:val="20"/>
        </w:rPr>
      </w:pPr>
      <w:r>
        <w:rPr>
          <w:rFonts w:ascii="Arial" w:hAnsi="Arial" w:cs="Arial"/>
          <w:b/>
          <w:bCs/>
          <w:color w:val="000000"/>
          <w:sz w:val="20"/>
          <w:szCs w:val="20"/>
        </w:rPr>
        <w:t>Reserve Bank of India – Master Direction on Minimum Capital Requirements for Operational Risk</w:t>
      </w:r>
    </w:p>
    <w:p w14:paraId="6F5A610C" w14:textId="77777777" w:rsidR="00AE7566" w:rsidRDefault="00AE7566" w:rsidP="00AE7566">
      <w:pPr>
        <w:pStyle w:val="NormalWeb"/>
        <w:spacing w:after="0" w:afterAutospacing="0"/>
        <w:jc w:val="both"/>
        <w:rPr>
          <w:rFonts w:ascii="Arial" w:hAnsi="Arial" w:cs="Arial"/>
          <w:color w:val="000000"/>
          <w:sz w:val="20"/>
          <w:szCs w:val="20"/>
        </w:rPr>
      </w:pPr>
      <w:r>
        <w:rPr>
          <w:rFonts w:ascii="Arial" w:hAnsi="Arial" w:cs="Arial"/>
          <w:color w:val="000000"/>
          <w:sz w:val="20"/>
          <w:szCs w:val="20"/>
        </w:rPr>
        <w:t>In exercise of the powers conferred by Section 35A of the Banking Regulation Act, 1949, the Reserve Bank of India being satisfied that it is necessary and expedient in the public interest to do so, hereby issues the Directions hereinafter specified. These Directions require a specified Commercial Bank (covered under ‘Applicability’) to hold sufficient regulatory capital against its exposures arising from operational risk.</w:t>
      </w:r>
    </w:p>
    <w:p w14:paraId="7949F6FA" w14:textId="77777777" w:rsidR="00AE7566" w:rsidRDefault="00AE7566" w:rsidP="00AE7566">
      <w:pPr>
        <w:pStyle w:val="head"/>
        <w:jc w:val="center"/>
        <w:rPr>
          <w:rFonts w:ascii="Arial" w:hAnsi="Arial" w:cs="Arial"/>
          <w:b/>
          <w:bCs/>
          <w:color w:val="000000"/>
          <w:sz w:val="20"/>
          <w:szCs w:val="20"/>
        </w:rPr>
      </w:pPr>
      <w:r>
        <w:rPr>
          <w:rFonts w:ascii="Arial" w:hAnsi="Arial" w:cs="Arial"/>
          <w:b/>
          <w:bCs/>
          <w:color w:val="000000"/>
          <w:sz w:val="20"/>
          <w:szCs w:val="20"/>
        </w:rPr>
        <w:t>Part A</w:t>
      </w:r>
    </w:p>
    <w:p w14:paraId="2594CB22" w14:textId="77777777" w:rsidR="00AE7566" w:rsidRDefault="00AE7566" w:rsidP="00AE7566">
      <w:pPr>
        <w:pStyle w:val="head"/>
        <w:spacing w:after="0" w:afterAutospacing="0"/>
        <w:jc w:val="both"/>
        <w:rPr>
          <w:rFonts w:ascii="Arial" w:hAnsi="Arial" w:cs="Arial"/>
          <w:b/>
          <w:bCs/>
          <w:color w:val="000000"/>
          <w:sz w:val="20"/>
          <w:szCs w:val="20"/>
        </w:rPr>
      </w:pPr>
      <w:r>
        <w:rPr>
          <w:rFonts w:ascii="Arial" w:hAnsi="Arial" w:cs="Arial"/>
          <w:b/>
          <w:bCs/>
          <w:color w:val="000000"/>
          <w:sz w:val="20"/>
          <w:szCs w:val="20"/>
        </w:rPr>
        <w:t>1. Short Title and Commencement</w:t>
      </w:r>
    </w:p>
    <w:p w14:paraId="5841A9FF"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These Directions shall be called the Reserve Bank of India (Minimum Capital Requirements for Operational Risk) Directions, 2023.</w:t>
      </w:r>
    </w:p>
    <w:p w14:paraId="6A2382E3" w14:textId="77777777" w:rsidR="00AE7566" w:rsidRDefault="00AE7566" w:rsidP="00AE7566">
      <w:pPr>
        <w:pStyle w:val="head"/>
        <w:jc w:val="both"/>
        <w:rPr>
          <w:rFonts w:ascii="Arial" w:hAnsi="Arial" w:cs="Arial"/>
          <w:b/>
          <w:bCs/>
          <w:color w:val="000000"/>
          <w:sz w:val="20"/>
          <w:szCs w:val="20"/>
        </w:rPr>
      </w:pPr>
      <w:r>
        <w:rPr>
          <w:rFonts w:ascii="Arial" w:hAnsi="Arial" w:cs="Arial"/>
          <w:b/>
          <w:bCs/>
          <w:color w:val="000000"/>
          <w:sz w:val="20"/>
          <w:szCs w:val="20"/>
        </w:rPr>
        <w:t>2. Effective Date</w:t>
      </w:r>
    </w:p>
    <w:p w14:paraId="6F6123D7"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2.1 The effective date of implementation of these Directions shall be communicated separately.</w:t>
      </w:r>
    </w:p>
    <w:p w14:paraId="7CA8E617"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2.2 All existing approaches viz. Basic Indicator Approach (BIA), The Standardised Approach (TSA)/ Alternative Standardised Approach (ASA) and Advanced Measurement Approach (AMA) for measuring minimum operational risk capital (ORC) requirements shall be replaced by </w:t>
      </w:r>
      <w:r>
        <w:rPr>
          <w:rFonts w:ascii="Arial" w:hAnsi="Arial" w:cs="Arial"/>
          <w:b/>
          <w:bCs/>
          <w:color w:val="000000"/>
          <w:sz w:val="20"/>
          <w:szCs w:val="20"/>
          <w:u w:val="single"/>
        </w:rPr>
        <w:t>the new Standardised Approach</w:t>
      </w:r>
      <w:r>
        <w:rPr>
          <w:rFonts w:ascii="Arial" w:hAnsi="Arial" w:cs="Arial"/>
          <w:color w:val="000000"/>
          <w:sz w:val="20"/>
          <w:szCs w:val="20"/>
        </w:rPr>
        <w:t> (hereafter referred to as the ‘</w:t>
      </w:r>
      <w:r>
        <w:rPr>
          <w:rStyle w:val="head1"/>
          <w:rFonts w:ascii="Arial" w:hAnsi="Arial" w:cs="Arial"/>
          <w:b/>
          <w:bCs/>
          <w:color w:val="000000"/>
          <w:sz w:val="20"/>
          <w:szCs w:val="20"/>
        </w:rPr>
        <w:t>Basel III Standardised Approach</w:t>
      </w:r>
      <w:r>
        <w:rPr>
          <w:rFonts w:ascii="Arial" w:hAnsi="Arial" w:cs="Arial"/>
          <w:color w:val="000000"/>
          <w:sz w:val="20"/>
          <w:szCs w:val="20"/>
        </w:rPr>
        <w:t>’) with coming into effect of these Directions.</w:t>
      </w:r>
    </w:p>
    <w:p w14:paraId="768FEB46"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2.3 Until then, the minimum operational risk regulatory capital requirements shall be computed in accordance with the instructions contained in paragraph 9 of ‘Master Circular – Basel III Capital Regulations’ issued vide </w:t>
      </w:r>
      <w:hyperlink r:id="rId96" w:tgtFrame="_blank" w:history="1">
        <w:r>
          <w:rPr>
            <w:rStyle w:val="Hyperlink"/>
            <w:rFonts w:ascii="Arial" w:hAnsi="Arial" w:cs="Arial"/>
            <w:sz w:val="20"/>
            <w:szCs w:val="20"/>
          </w:rPr>
          <w:t>circular DOR.CAP.REC.15/21.06.201/2023-24 dated May 12, 2023</w:t>
        </w:r>
      </w:hyperlink>
      <w:r>
        <w:rPr>
          <w:rFonts w:ascii="Arial" w:hAnsi="Arial" w:cs="Arial"/>
          <w:color w:val="000000"/>
          <w:sz w:val="20"/>
          <w:szCs w:val="20"/>
        </w:rPr>
        <w:t>, as amended from time to time.</w:t>
      </w:r>
    </w:p>
    <w:p w14:paraId="0A41E46E" w14:textId="77777777" w:rsidR="00AE7566" w:rsidRDefault="00AE7566" w:rsidP="00AE7566">
      <w:pPr>
        <w:pStyle w:val="head"/>
        <w:jc w:val="both"/>
        <w:rPr>
          <w:rFonts w:ascii="Arial" w:hAnsi="Arial" w:cs="Arial"/>
          <w:b/>
          <w:bCs/>
          <w:color w:val="000000"/>
          <w:sz w:val="20"/>
          <w:szCs w:val="20"/>
        </w:rPr>
      </w:pPr>
      <w:r>
        <w:rPr>
          <w:rFonts w:ascii="Arial" w:hAnsi="Arial" w:cs="Arial"/>
          <w:b/>
          <w:bCs/>
          <w:color w:val="000000"/>
          <w:sz w:val="20"/>
          <w:szCs w:val="20"/>
        </w:rPr>
        <w:t>3. Applicability</w:t>
      </w:r>
    </w:p>
    <w:p w14:paraId="1CE4F727"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3.1 The provisions of these Directions shall apply to all Commercial Banks (excluding Local Area Banks, Payments Banks, Regional Rural Banks, and Small Finance Banks).</w:t>
      </w:r>
    </w:p>
    <w:p w14:paraId="16EA4692"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3.2 The scope of application shall be in accordance with paragraph 3 of ‘Master Circular – Basel III Capital Regulations’ issued vide </w:t>
      </w:r>
      <w:hyperlink r:id="rId97" w:tgtFrame="_blank" w:history="1">
        <w:r>
          <w:rPr>
            <w:rStyle w:val="Hyperlink"/>
            <w:rFonts w:ascii="Arial" w:hAnsi="Arial" w:cs="Arial"/>
            <w:sz w:val="20"/>
            <w:szCs w:val="20"/>
          </w:rPr>
          <w:t>circular DOR.CAP.REC.15/21.06.201/2023-24 dated May 12, 2023</w:t>
        </w:r>
      </w:hyperlink>
      <w:r>
        <w:rPr>
          <w:rFonts w:ascii="Arial" w:hAnsi="Arial" w:cs="Arial"/>
          <w:color w:val="000000"/>
          <w:sz w:val="20"/>
          <w:szCs w:val="20"/>
        </w:rPr>
        <w:t>, as amended from time to time.</w:t>
      </w:r>
    </w:p>
    <w:p w14:paraId="34A219BE" w14:textId="77777777" w:rsidR="00AE7566" w:rsidRDefault="00AE7566" w:rsidP="00AE7566">
      <w:pPr>
        <w:pStyle w:val="NormalWeb"/>
        <w:jc w:val="both"/>
        <w:rPr>
          <w:rFonts w:ascii="Arial" w:hAnsi="Arial" w:cs="Arial"/>
          <w:color w:val="000000"/>
          <w:sz w:val="20"/>
          <w:szCs w:val="20"/>
        </w:rPr>
      </w:pPr>
      <w:r>
        <w:rPr>
          <w:rFonts w:ascii="Arial" w:hAnsi="Arial" w:cs="Arial"/>
          <w:color w:val="000000"/>
          <w:sz w:val="20"/>
          <w:szCs w:val="20"/>
        </w:rPr>
        <w:t>3.3 The provisions contained in </w:t>
      </w:r>
      <w:hyperlink r:id="rId98" w:anchor="PartA" w:history="1">
        <w:r>
          <w:rPr>
            <w:rStyle w:val="Hyperlink"/>
            <w:rFonts w:ascii="Arial" w:hAnsi="Arial" w:cs="Arial"/>
            <w:sz w:val="20"/>
            <w:szCs w:val="20"/>
          </w:rPr>
          <w:t>Part A</w:t>
        </w:r>
      </w:hyperlink>
      <w:r>
        <w:rPr>
          <w:rFonts w:ascii="Arial" w:hAnsi="Arial" w:cs="Arial"/>
          <w:color w:val="000000"/>
          <w:sz w:val="20"/>
          <w:szCs w:val="20"/>
        </w:rPr>
        <w:t> of these Directions are mandatory. Banks are encouraged to comply with the guidelines listed in </w:t>
      </w:r>
      <w:hyperlink r:id="rId99" w:anchor="PartB" w:history="1">
        <w:r>
          <w:rPr>
            <w:rStyle w:val="Hyperlink"/>
            <w:rFonts w:ascii="Arial" w:hAnsi="Arial" w:cs="Arial"/>
            <w:sz w:val="20"/>
            <w:szCs w:val="20"/>
          </w:rPr>
          <w:t>Part B</w:t>
        </w:r>
      </w:hyperlink>
      <w:r>
        <w:rPr>
          <w:rFonts w:ascii="Arial" w:hAnsi="Arial" w:cs="Arial"/>
          <w:color w:val="000000"/>
          <w:sz w:val="20"/>
          <w:szCs w:val="20"/>
        </w:rPr>
        <w:t>. </w:t>
      </w:r>
      <w:hyperlink r:id="rId100" w:anchor="PartC" w:history="1">
        <w:r>
          <w:rPr>
            <w:rStyle w:val="Hyperlink"/>
            <w:rFonts w:ascii="Arial" w:hAnsi="Arial" w:cs="Arial"/>
            <w:sz w:val="20"/>
            <w:szCs w:val="20"/>
          </w:rPr>
          <w:t>Part C</w:t>
        </w:r>
      </w:hyperlink>
      <w:r>
        <w:rPr>
          <w:rFonts w:ascii="Arial" w:hAnsi="Arial" w:cs="Arial"/>
          <w:color w:val="000000"/>
          <w:sz w:val="20"/>
          <w:szCs w:val="20"/>
        </w:rPr>
        <w:t> and </w:t>
      </w:r>
      <w:hyperlink r:id="rId101" w:anchor="PartD" w:history="1">
        <w:r>
          <w:rPr>
            <w:rStyle w:val="Hyperlink"/>
            <w:rFonts w:ascii="Arial" w:hAnsi="Arial" w:cs="Arial"/>
            <w:sz w:val="20"/>
            <w:szCs w:val="20"/>
          </w:rPr>
          <w:t>Part D</w:t>
        </w:r>
      </w:hyperlink>
      <w:r>
        <w:rPr>
          <w:rFonts w:ascii="Arial" w:hAnsi="Arial" w:cs="Arial"/>
          <w:color w:val="000000"/>
          <w:sz w:val="20"/>
          <w:szCs w:val="20"/>
        </w:rPr>
        <w:t> contain Frequently Asked Questions (FAQs) and Illustrations, respectively (for general guidance of banks).</w:t>
      </w:r>
    </w:p>
    <w:p w14:paraId="49C26B89" w14:textId="77777777" w:rsidR="00AE7566" w:rsidRDefault="00AE7566" w:rsidP="00AE7566">
      <w:pPr>
        <w:spacing w:before="240" w:after="0"/>
      </w:pPr>
      <w:r>
        <w:t>More details can be referred to in the below link.</w:t>
      </w:r>
    </w:p>
    <w:p w14:paraId="42A4349F" w14:textId="77777777" w:rsidR="00AE7566" w:rsidRDefault="00AE7566" w:rsidP="00AE756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02" w:history="1">
        <w:r w:rsidRPr="005F425E">
          <w:rPr>
            <w:rStyle w:val="Hyperlink"/>
            <w:rFonts w:ascii="Arial" w:hAnsi="Arial" w:cs="Arial"/>
            <w:bCs/>
            <w:sz w:val="20"/>
            <w:szCs w:val="20"/>
          </w:rPr>
          <w:t>https://rbi.org.in/Scripts/NotificationUser.aspx?Id=12520&amp;Mode=0</w:t>
        </w:r>
      </w:hyperlink>
    </w:p>
    <w:bookmarkEnd w:id="44"/>
    <w:p w14:paraId="3083870A" w14:textId="77777777" w:rsidR="00AE7566" w:rsidRDefault="00AE7566" w:rsidP="00AE7566">
      <w:pPr>
        <w:pStyle w:val="NormalWeb"/>
        <w:rPr>
          <w:rFonts w:ascii="Arial" w:hAnsi="Arial" w:cs="Arial"/>
          <w:color w:val="000000"/>
          <w:sz w:val="20"/>
          <w:szCs w:val="20"/>
        </w:rPr>
      </w:pPr>
    </w:p>
    <w:sectPr w:rsidR="00AE7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A05"/>
    <w:multiLevelType w:val="multilevel"/>
    <w:tmpl w:val="05A63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B140606"/>
    <w:multiLevelType w:val="multilevel"/>
    <w:tmpl w:val="7B4217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2D"/>
    <w:rsid w:val="001C3B05"/>
    <w:rsid w:val="0030712D"/>
    <w:rsid w:val="00670D4D"/>
    <w:rsid w:val="009A6CFA"/>
    <w:rsid w:val="00A92A00"/>
    <w:rsid w:val="00AE7566"/>
    <w:rsid w:val="00CA0B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0F2B"/>
  <w15:chartTrackingRefBased/>
  <w15:docId w15:val="{0BF4CA35-2DBD-410A-A5EA-190665E8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6CF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9A6CF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9A6CFA"/>
    <w:rPr>
      <w:color w:val="0000FF"/>
      <w:u w:val="single"/>
    </w:rPr>
  </w:style>
  <w:style w:type="character" w:styleId="Strong">
    <w:name w:val="Strong"/>
    <w:basedOn w:val="DefaultParagraphFont"/>
    <w:uiPriority w:val="22"/>
    <w:qFormat/>
    <w:rsid w:val="009A6CFA"/>
    <w:rPr>
      <w:b/>
      <w:bCs/>
    </w:rPr>
  </w:style>
  <w:style w:type="character" w:customStyle="1" w:styleId="head1">
    <w:name w:val="head1"/>
    <w:basedOn w:val="DefaultParagraphFont"/>
    <w:rsid w:val="009A6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bi.org.in/Scripts/NotificationUser.aspx?Id=12468&amp;Mode=0" TargetMode="External"/><Relationship Id="rId21" Type="http://schemas.openxmlformats.org/officeDocument/2006/relationships/hyperlink" Target="https://rbi.org.in/Scripts/NotificationUser.aspx?Id=12467&amp;Mode=0" TargetMode="External"/><Relationship Id="rId42" Type="http://schemas.openxmlformats.org/officeDocument/2006/relationships/hyperlink" Target="https://www.rbi.org.in/Scripts/BS_PressReleaseDisplay.aspx?prid=53911" TargetMode="External"/><Relationship Id="rId47" Type="http://schemas.openxmlformats.org/officeDocument/2006/relationships/hyperlink" Target="https://www.rbi.org.in/Scripts/BS_ViewMasCirculardetails.aspx?id=12279" TargetMode="External"/><Relationship Id="rId63" Type="http://schemas.openxmlformats.org/officeDocument/2006/relationships/hyperlink" Target="https://rbi.org.in/Scripts/NotificationUser.aspx?Id=12503&amp;Mode=0" TargetMode="External"/><Relationship Id="rId68" Type="http://schemas.openxmlformats.org/officeDocument/2006/relationships/hyperlink" Target="https://www.rbi.org.in/Scripts/BS_PressReleaseDisplay.aspx?prid=55472" TargetMode="External"/><Relationship Id="rId84" Type="http://schemas.openxmlformats.org/officeDocument/2006/relationships/hyperlink" Target="https://rbi.org.in/Scripts/BS_ViewMasDirections.aspx?id=11959" TargetMode="External"/><Relationship Id="rId89" Type="http://schemas.openxmlformats.org/officeDocument/2006/relationships/hyperlink" Target="https://rbi.org.in/Scripts/BS_ViewMasDirections.aspx?id=11959" TargetMode="External"/><Relationship Id="rId7" Type="http://schemas.openxmlformats.org/officeDocument/2006/relationships/hyperlink" Target="https://rbi.org.in/Scripts/NotificationUser.aspx?Id=12435&amp;Mode=0" TargetMode="External"/><Relationship Id="rId71" Type="http://schemas.openxmlformats.org/officeDocument/2006/relationships/hyperlink" Target="https://www.rbi.org.in/Scripts/BS_ViewMasDirections.aspx?id=10485" TargetMode="External"/><Relationship Id="rId92" Type="http://schemas.openxmlformats.org/officeDocument/2006/relationships/hyperlink" Target="https://www.rbi.org.in/Scripts/NotificationUser.aspx?Id=11777&amp;Mode=0" TargetMode="External"/><Relationship Id="rId2" Type="http://schemas.openxmlformats.org/officeDocument/2006/relationships/styles" Target="styles.xml"/><Relationship Id="rId16" Type="http://schemas.openxmlformats.org/officeDocument/2006/relationships/hyperlink" Target="https://rbi.org.in/Scripts/BS_ViewMasDirections.aspx?id=12158" TargetMode="External"/><Relationship Id="rId29" Type="http://schemas.openxmlformats.org/officeDocument/2006/relationships/hyperlink" Target="https://rbi.org.in/Scripts/NotificationUser.aspx?Id=12469&amp;Mode=0" TargetMode="External"/><Relationship Id="rId11" Type="http://schemas.openxmlformats.org/officeDocument/2006/relationships/hyperlink" Target="https://rbidocs.rbi.org.in/rdocs/content/pdfs/GMMIRRAPP_3.pdf" TargetMode="External"/><Relationship Id="rId24" Type="http://schemas.openxmlformats.org/officeDocument/2006/relationships/hyperlink" Target="https://rbi.org.in/Scripts/NotificationUser.aspx?Id=12468&amp;Mode=0" TargetMode="External"/><Relationship Id="rId32" Type="http://schemas.openxmlformats.org/officeDocument/2006/relationships/hyperlink" Target="https://www.rbi.org.in/Scripts/BS_ViewMasCirculardetails.aspx?id=12281" TargetMode="External"/><Relationship Id="rId37" Type="http://schemas.openxmlformats.org/officeDocument/2006/relationships/hyperlink" Target="https://rbi.org.in/Scripts/NotificationUser.aspx?Id=12473&amp;Mode=0" TargetMode="External"/><Relationship Id="rId40" Type="http://schemas.openxmlformats.org/officeDocument/2006/relationships/hyperlink" Target="https://rbi.org.in/Scripts/NotificationUser.aspx?Id=12476&amp;Mode=0" TargetMode="External"/><Relationship Id="rId45" Type="http://schemas.openxmlformats.org/officeDocument/2006/relationships/hyperlink" Target="https://rbi.org.in/Scripts/NotificationUser.aspx?Id=12487&amp;Mode=0" TargetMode="External"/><Relationship Id="rId53" Type="http://schemas.openxmlformats.org/officeDocument/2006/relationships/hyperlink" Target="https://www.rbi.org.in/scripts/NotificationUser.aspx?Id=4970&amp;Mode=0" TargetMode="External"/><Relationship Id="rId58" Type="http://schemas.openxmlformats.org/officeDocument/2006/relationships/hyperlink" Target="https://rbi.org.in/Scripts/NotificationUser.aspx?Id=12499&amp;Mode=0" TargetMode="External"/><Relationship Id="rId66" Type="http://schemas.openxmlformats.org/officeDocument/2006/relationships/hyperlink" Target="https://rbi.org.in/Scripts/NotificationUser.aspx?Id=12504&amp;Mode=0" TargetMode="External"/><Relationship Id="rId74" Type="http://schemas.openxmlformats.org/officeDocument/2006/relationships/hyperlink" Target="https://www.rbi.org.in/Scripts/NotificationUser.aspx?Id=11580&amp;Mode=0" TargetMode="External"/><Relationship Id="rId79" Type="http://schemas.openxmlformats.org/officeDocument/2006/relationships/hyperlink" Target="https://rbi.org.in/Scripts/NotificationUser.aspx?Id=12514&amp;Mode=0" TargetMode="External"/><Relationship Id="rId87" Type="http://schemas.openxmlformats.org/officeDocument/2006/relationships/hyperlink" Target="https://rbi.org.in/Scripts/NotificationUser.aspx?Id=12515&amp;Mode=0" TargetMode="External"/><Relationship Id="rId102" Type="http://schemas.openxmlformats.org/officeDocument/2006/relationships/hyperlink" Target="https://rbi.org.in/Scripts/NotificationUser.aspx?Id=12520&amp;Mode=0" TargetMode="External"/><Relationship Id="rId5" Type="http://schemas.openxmlformats.org/officeDocument/2006/relationships/hyperlink" Target="https://www.rbi.org.in/Scripts/BS_ViewMasCirculardetails.aspx?id=12278" TargetMode="External"/><Relationship Id="rId61" Type="http://schemas.openxmlformats.org/officeDocument/2006/relationships/hyperlink" Target="https://rbi.org.in/Scripts/NotificationUser.aspx?Id=12500&amp;Mode=0" TargetMode="External"/><Relationship Id="rId82" Type="http://schemas.openxmlformats.org/officeDocument/2006/relationships/hyperlink" Target="https://rbi.org.in/Scripts/NotificationUser.aspx?Id=12514&amp;Mode=0" TargetMode="External"/><Relationship Id="rId90" Type="http://schemas.openxmlformats.org/officeDocument/2006/relationships/hyperlink" Target="https://www.rbi.org.in/Scripts/NotificationUser.aspx?Id=11879&amp;Mode=0" TargetMode="External"/><Relationship Id="rId95" Type="http://schemas.openxmlformats.org/officeDocument/2006/relationships/hyperlink" Target="https://rbi.org.in/Scripts/NotificationUser.aspx?Id=12519&amp;Mode=0" TargetMode="External"/><Relationship Id="rId19" Type="http://schemas.openxmlformats.org/officeDocument/2006/relationships/hyperlink" Target="https://www.rbi.org.in/Scripts/NotificationUser.aspx?Id=12418&amp;Mode=0" TargetMode="External"/><Relationship Id="rId14" Type="http://schemas.openxmlformats.org/officeDocument/2006/relationships/hyperlink" Target="https://www.rbi.org.in/Scripts/NotificationUser.aspx?Id=6081&amp;Mode=0" TargetMode="External"/><Relationship Id="rId22" Type="http://schemas.openxmlformats.org/officeDocument/2006/relationships/hyperlink" Target="https://rbi.org.in/Scripts/NotificationUser.aspx?Id=12467&amp;Mode=0" TargetMode="External"/><Relationship Id="rId27" Type="http://schemas.openxmlformats.org/officeDocument/2006/relationships/hyperlink" Target="https://www.rbi.org.in/Scripts/BS_ViewMasCirculardetails.aspx?id=12272" TargetMode="External"/><Relationship Id="rId30" Type="http://schemas.openxmlformats.org/officeDocument/2006/relationships/hyperlink" Target="https://rbi.org.in/Scripts/NotificationUser.aspx?Id=12469&amp;Mode=0" TargetMode="External"/><Relationship Id="rId35" Type="http://schemas.openxmlformats.org/officeDocument/2006/relationships/hyperlink" Target="https://rbi.org.in/Scripts/NotificationUser.aspx?Id=12472&amp;Mode=0" TargetMode="External"/><Relationship Id="rId43" Type="http://schemas.openxmlformats.org/officeDocument/2006/relationships/hyperlink" Target="https://rbi.org.in/Scripts/NotificationUser.aspx?Id=12486&amp;Mode=0" TargetMode="External"/><Relationship Id="rId48" Type="http://schemas.openxmlformats.org/officeDocument/2006/relationships/hyperlink" Target="https://rbi.org.in/Scripts/NotificationUser.aspx?Id=12490&amp;Mode=0" TargetMode="External"/><Relationship Id="rId56" Type="http://schemas.openxmlformats.org/officeDocument/2006/relationships/hyperlink" Target="https://rbi.org.in/Scripts/NotificationUser.aspx?Id=12499&amp;Mode=0" TargetMode="External"/><Relationship Id="rId64" Type="http://schemas.openxmlformats.org/officeDocument/2006/relationships/hyperlink" Target="https://www.rbi.org.in/Scripts/BS_ViewMasCirculardetails.aspx?id=12278" TargetMode="External"/><Relationship Id="rId69" Type="http://schemas.openxmlformats.org/officeDocument/2006/relationships/hyperlink" Target="https://rbi.org.in/Scripts/NotificationUser.aspx?Id=179&amp;Mode=0" TargetMode="External"/><Relationship Id="rId77" Type="http://schemas.openxmlformats.org/officeDocument/2006/relationships/hyperlink" Target="https://rbi.org.in/Scripts/NotificationUser.aspx?Id=12513&amp;Mode=0" TargetMode="External"/><Relationship Id="rId100" Type="http://schemas.openxmlformats.org/officeDocument/2006/relationships/hyperlink" Target="https://rbi.org.in/Scripts/NotificationUser.aspx?Id=12520&amp;Mode=0" TargetMode="External"/><Relationship Id="rId8" Type="http://schemas.openxmlformats.org/officeDocument/2006/relationships/hyperlink" Target="https://www.rbi.org.in/Scripts/NotificationUser.aspx?Id=11753&amp;Mode=0" TargetMode="External"/><Relationship Id="rId51" Type="http://schemas.openxmlformats.org/officeDocument/2006/relationships/hyperlink" Target="https://www.rbi.org.in/Scripts/NotificationUser.aspx?Id=12416&amp;Mode=0" TargetMode="External"/><Relationship Id="rId72" Type="http://schemas.openxmlformats.org/officeDocument/2006/relationships/hyperlink" Target="https://rbi.org.in/Scripts/NotificationUser.aspx?Id=12509&amp;Mode=0" TargetMode="External"/><Relationship Id="rId80" Type="http://schemas.openxmlformats.org/officeDocument/2006/relationships/hyperlink" Target="https://rbi.org.in/Scripts/NotificationUser.aspx?Id=12514&amp;Mode=0" TargetMode="External"/><Relationship Id="rId85" Type="http://schemas.openxmlformats.org/officeDocument/2006/relationships/hyperlink" Target="https://rbi.org.in/Scripts/NotificationUser.aspx?Id=12515&amp;Mode=0" TargetMode="External"/><Relationship Id="rId93" Type="http://schemas.openxmlformats.org/officeDocument/2006/relationships/hyperlink" Target="https://www.rbi.org.in/Scripts/NotificationUser.aspx?Id=12414&amp;Mode=0" TargetMode="External"/><Relationship Id="rId98" Type="http://schemas.openxmlformats.org/officeDocument/2006/relationships/hyperlink" Target="https://rbi.org.in/Scripts/NotificationUser.aspx?Id=12520&amp;Mode=0" TargetMode="External"/><Relationship Id="rId3" Type="http://schemas.openxmlformats.org/officeDocument/2006/relationships/settings" Target="settings.xml"/><Relationship Id="rId12" Type="http://schemas.openxmlformats.org/officeDocument/2006/relationships/hyperlink" Target="mailto:mrgdor@rbi.org.in" TargetMode="External"/><Relationship Id="rId17" Type="http://schemas.openxmlformats.org/officeDocument/2006/relationships/hyperlink" Target="https://rbi.org.in/Scripts/BS_ViewMasDirections.aspx?id=12158" TargetMode="External"/><Relationship Id="rId25" Type="http://schemas.openxmlformats.org/officeDocument/2006/relationships/hyperlink" Target="https://rbi.org.in/Scripts/NotificationUser.aspx?Id=12468&amp;Mode=0" TargetMode="External"/><Relationship Id="rId33" Type="http://schemas.openxmlformats.org/officeDocument/2006/relationships/hyperlink" Target="https://rbi.org.in/Scripts/NotificationUser.aspx?Id=12472&amp;Mode=0" TargetMode="External"/><Relationship Id="rId38" Type="http://schemas.openxmlformats.org/officeDocument/2006/relationships/hyperlink" Target="https://www.rbi.org.in/Scripts/BS_ViewMasCirculardetails.aspx?id=12280" TargetMode="External"/><Relationship Id="rId46" Type="http://schemas.openxmlformats.org/officeDocument/2006/relationships/hyperlink" Target="https://rbi.org.in/Scripts/NotificationUser.aspx?Id=12487&amp;Mode=0" TargetMode="External"/><Relationship Id="rId59" Type="http://schemas.openxmlformats.org/officeDocument/2006/relationships/hyperlink" Target="https://rbi.org.in/Scripts/NotificationUser.aspx?Id=11951&amp;Mode=0" TargetMode="External"/><Relationship Id="rId67" Type="http://schemas.openxmlformats.org/officeDocument/2006/relationships/hyperlink" Target="https://www.rbi.org.in/Scripts/BS_PressReleaseDisplay.aspx?prid=55473" TargetMode="External"/><Relationship Id="rId103" Type="http://schemas.openxmlformats.org/officeDocument/2006/relationships/fontTable" Target="fontTable.xml"/><Relationship Id="rId20" Type="http://schemas.openxmlformats.org/officeDocument/2006/relationships/hyperlink" Target="https://rbi.org.in/Scripts/NotificationUser.aspx?Id=12465&amp;Mode=0" TargetMode="External"/><Relationship Id="rId41" Type="http://schemas.openxmlformats.org/officeDocument/2006/relationships/hyperlink" Target="https://www.rbi.org.in/Scripts/BS_PressReleaseDisplay.aspx?prid=53248" TargetMode="External"/><Relationship Id="rId54" Type="http://schemas.openxmlformats.org/officeDocument/2006/relationships/hyperlink" Target="https://rbi.org.in/Scripts/NotificationUser.aspx?Id=12491&amp;Mode=0" TargetMode="External"/><Relationship Id="rId62" Type="http://schemas.openxmlformats.org/officeDocument/2006/relationships/hyperlink" Target="https://www.rbi.org.in/Scripts/NotificationUser.aspx?Id=12128&amp;Mode=0" TargetMode="External"/><Relationship Id="rId70" Type="http://schemas.openxmlformats.org/officeDocument/2006/relationships/hyperlink" Target="https://www.rbi.org.in/Scripts/BS_ViewMasDirections.aspx?id=10485" TargetMode="External"/><Relationship Id="rId75" Type="http://schemas.openxmlformats.org/officeDocument/2006/relationships/hyperlink" Target="https://www.rbi.org.in/Scripts/BS_PressReleaseDisplay.aspx?prid=55815" TargetMode="External"/><Relationship Id="rId83" Type="http://schemas.openxmlformats.org/officeDocument/2006/relationships/hyperlink" Target="https://www.rbi.org.in/Scripts/NotificationUser.aspx?Id=11819&amp;Mode=0" TargetMode="External"/><Relationship Id="rId88" Type="http://schemas.openxmlformats.org/officeDocument/2006/relationships/hyperlink" Target="https://rbi.org.in/Scripts/NotificationUser.aspx?Id=12515&amp;Mode=0" TargetMode="External"/><Relationship Id="rId91" Type="http://schemas.openxmlformats.org/officeDocument/2006/relationships/hyperlink" Target="https://rbi.org.in/Scripts/NotificationUser.aspx?Id=12515&amp;Mode=0" TargetMode="External"/><Relationship Id="rId96" Type="http://schemas.openxmlformats.org/officeDocument/2006/relationships/hyperlink" Target="https://www.rbi.org.in/Scripts/BS_ViewMasCirculardetails.aspx?id=12504" TargetMode="External"/><Relationship Id="rId1" Type="http://schemas.openxmlformats.org/officeDocument/2006/relationships/numbering" Target="numbering.xml"/><Relationship Id="rId6" Type="http://schemas.openxmlformats.org/officeDocument/2006/relationships/hyperlink" Target="https://www.rbi.org.in/Scripts/BS_PressReleaseDisplay.aspx?prid=54531" TargetMode="External"/><Relationship Id="rId15" Type="http://schemas.openxmlformats.org/officeDocument/2006/relationships/hyperlink" Target="https://rbi.org.in/Scripts/NotificationUser.aspx?Id=12456&amp;Mode=0" TargetMode="External"/><Relationship Id="rId23" Type="http://schemas.openxmlformats.org/officeDocument/2006/relationships/hyperlink" Target="https://rbi.org.in/Scripts/NotificationUser.aspx?Id=12467&amp;Mode=0" TargetMode="External"/><Relationship Id="rId28" Type="http://schemas.openxmlformats.org/officeDocument/2006/relationships/hyperlink" Target="https://rbi.org.in/" TargetMode="External"/><Relationship Id="rId36" Type="http://schemas.openxmlformats.org/officeDocument/2006/relationships/hyperlink" Target="https://rbi.org.in/Scripts/NotificationUser.aspx?Id=12473&amp;Mode=0" TargetMode="External"/><Relationship Id="rId49" Type="http://schemas.openxmlformats.org/officeDocument/2006/relationships/hyperlink" Target="https://rbi.org.in/Scripts/NotificationUser.aspx?Id=12490&amp;Mode=0" TargetMode="External"/><Relationship Id="rId57" Type="http://schemas.openxmlformats.org/officeDocument/2006/relationships/hyperlink" Target="https://rbi.org.in/Scripts/NotificationUser.aspx?Id=12499&amp;Mode=0" TargetMode="External"/><Relationship Id="rId10" Type="http://schemas.openxmlformats.org/officeDocument/2006/relationships/hyperlink" Target="https://rbi.org.in/Scripts/NotificationUser.aspx?Id=12456&amp;Mode=0" TargetMode="External"/><Relationship Id="rId31" Type="http://schemas.openxmlformats.org/officeDocument/2006/relationships/hyperlink" Target="https://rbi.org.in/Scripts/NotificationUser.aspx?Id=12469&amp;Mode=0" TargetMode="External"/><Relationship Id="rId44" Type="http://schemas.openxmlformats.org/officeDocument/2006/relationships/hyperlink" Target="https://rbi.org.in/Scripts/NotificationUser.aspx?Id=12486&amp;Mode=0" TargetMode="External"/><Relationship Id="rId52" Type="http://schemas.openxmlformats.org/officeDocument/2006/relationships/hyperlink" Target="https://rbi.org.in/Scripts/BS_ViewMasCirculardetails.aspx?id=12283" TargetMode="External"/><Relationship Id="rId60" Type="http://schemas.openxmlformats.org/officeDocument/2006/relationships/hyperlink" Target="https://rbidocs.rbi.org.in/rdocs/content/pdfs/IndianGazzate20032023.pdf" TargetMode="External"/><Relationship Id="rId65" Type="http://schemas.openxmlformats.org/officeDocument/2006/relationships/hyperlink" Target="https://rbidocs.rbi.org.in/rdocs/content/pdfs/31MC12052023_A.pdf" TargetMode="External"/><Relationship Id="rId73" Type="http://schemas.openxmlformats.org/officeDocument/2006/relationships/hyperlink" Target="https://rbi.org.in/Scripts/NotificationUser.aspx?Id=12509&amp;Mode=0" TargetMode="External"/><Relationship Id="rId78" Type="http://schemas.openxmlformats.org/officeDocument/2006/relationships/hyperlink" Target="https://rbi.org.in/Scripts/BS_PressReleaseDisplay.aspx?prid=54187" TargetMode="External"/><Relationship Id="rId81" Type="http://schemas.openxmlformats.org/officeDocument/2006/relationships/hyperlink" Target="https://rbi.org.in/Scripts/NotificationUser.aspx?Id=12514&amp;Mode=0" TargetMode="External"/><Relationship Id="rId86" Type="http://schemas.openxmlformats.org/officeDocument/2006/relationships/hyperlink" Target="https://rbi.org.in/Scripts/NotificationUser.aspx?Id=12515&amp;Mode=0" TargetMode="External"/><Relationship Id="rId94" Type="http://schemas.openxmlformats.org/officeDocument/2006/relationships/hyperlink" Target="https://www.rbi.org.in/Scripts/NotificationUser.aspx?Id=11601&amp;Mode=0" TargetMode="External"/><Relationship Id="rId99" Type="http://schemas.openxmlformats.org/officeDocument/2006/relationships/hyperlink" Target="https://rbi.org.in/Scripts/NotificationUser.aspx?Id=12520&amp;Mode=0" TargetMode="External"/><Relationship Id="rId101" Type="http://schemas.openxmlformats.org/officeDocument/2006/relationships/hyperlink" Target="https://rbi.org.in/Scripts/NotificationUser.aspx?Id=12520&amp;Mode=0" TargetMode="External"/><Relationship Id="rId4" Type="http://schemas.openxmlformats.org/officeDocument/2006/relationships/webSettings" Target="webSettings.xml"/><Relationship Id="rId9" Type="http://schemas.openxmlformats.org/officeDocument/2006/relationships/hyperlink" Target="https://rbi.org.in/Scripts/NotificationUser.aspx?Id=12436&amp;Mode=0" TargetMode="External"/><Relationship Id="rId13" Type="http://schemas.openxmlformats.org/officeDocument/2006/relationships/hyperlink" Target="https://www.rbi.org.in/Scripts/NotificationUser.aspx?Id=3805&amp;Mode=0" TargetMode="External"/><Relationship Id="rId18" Type="http://schemas.openxmlformats.org/officeDocument/2006/relationships/hyperlink" Target="https://rbi.org.in/Scripts/NotificationUser.aspx?Id=12457&amp;Mode=0" TargetMode="External"/><Relationship Id="rId39" Type="http://schemas.openxmlformats.org/officeDocument/2006/relationships/hyperlink" Target="https://rbi.org.in/Scripts/NotificationUser.aspx?Id=12476&amp;Mode=0" TargetMode="External"/><Relationship Id="rId34" Type="http://schemas.openxmlformats.org/officeDocument/2006/relationships/hyperlink" Target="https://rbi.org.in/Scripts/NotificationUser.aspx?Id=12472&amp;Mode=0" TargetMode="External"/><Relationship Id="rId50" Type="http://schemas.openxmlformats.org/officeDocument/2006/relationships/hyperlink" Target="https://rbi.org.in/Scripts/NotificationUser.aspx?Id=12490&amp;Mode=0" TargetMode="External"/><Relationship Id="rId55" Type="http://schemas.openxmlformats.org/officeDocument/2006/relationships/hyperlink" Target="https://www.rbi.org.in/Scripts/BS_ViewMasCirculardetails.aspx?id=12283" TargetMode="External"/><Relationship Id="rId76" Type="http://schemas.openxmlformats.org/officeDocument/2006/relationships/hyperlink" Target="https://rbi.org.in/Scripts/NotificationUser.aspx?Id=12513&amp;Mode=0" TargetMode="External"/><Relationship Id="rId97" Type="http://schemas.openxmlformats.org/officeDocument/2006/relationships/hyperlink" Target="https://www.rbi.org.in/Scripts/BS_ViewMasCirculardetails.aspx?id=12504"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26</Pages>
  <Words>7862</Words>
  <Characters>44820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4</cp:revision>
  <dcterms:created xsi:type="dcterms:W3CDTF">2023-08-01T16:19:00Z</dcterms:created>
  <dcterms:modified xsi:type="dcterms:W3CDTF">2023-08-02T04:34:00Z</dcterms:modified>
</cp:coreProperties>
</file>